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1C" w:rsidRPr="0056391C" w:rsidRDefault="0056391C" w:rsidP="00E52F85">
      <w:pPr>
        <w:autoSpaceDE w:val="0"/>
        <w:autoSpaceDN w:val="0"/>
        <w:bidi/>
        <w:adjustRightInd w:val="0"/>
        <w:rPr>
          <w:b/>
          <w:bCs/>
          <w:color w:val="000000"/>
          <w:sz w:val="28"/>
          <w:szCs w:val="28"/>
          <w:u w:val="single"/>
          <w:rtl/>
        </w:rPr>
      </w:pPr>
      <w:r w:rsidRPr="0056391C">
        <w:rPr>
          <w:rFonts w:hint="cs"/>
          <w:b/>
          <w:bCs/>
          <w:color w:val="000000"/>
          <w:sz w:val="28"/>
          <w:szCs w:val="28"/>
          <w:u w:val="single"/>
          <w:rtl/>
        </w:rPr>
        <w:t>בענין הפקעת קידושיך #1</w:t>
      </w:r>
    </w:p>
    <w:p w:rsidR="0056391C" w:rsidRDefault="0056391C" w:rsidP="0056391C">
      <w:pPr>
        <w:autoSpaceDE w:val="0"/>
        <w:autoSpaceDN w:val="0"/>
        <w:bidi/>
        <w:adjustRightInd w:val="0"/>
        <w:rPr>
          <w:color w:val="000000"/>
          <w:rtl/>
        </w:rPr>
      </w:pPr>
    </w:p>
    <w:p w:rsidR="0056391C" w:rsidRDefault="0056391C" w:rsidP="0056391C">
      <w:pPr>
        <w:autoSpaceDE w:val="0"/>
        <w:autoSpaceDN w:val="0"/>
        <w:bidi/>
        <w:adjustRightInd w:val="0"/>
        <w:rPr>
          <w:color w:val="000000"/>
          <w:rtl/>
        </w:rPr>
      </w:pPr>
      <w:r>
        <w:rPr>
          <w:rFonts w:hint="cs"/>
          <w:color w:val="000000"/>
          <w:rtl/>
        </w:rPr>
        <w:t>יש כח ביד חכמים לעקור דבר מן התורה</w:t>
      </w:r>
    </w:p>
    <w:p w:rsidR="0056391C" w:rsidRDefault="0056391C" w:rsidP="0056391C">
      <w:pPr>
        <w:autoSpaceDE w:val="0"/>
        <w:autoSpaceDN w:val="0"/>
        <w:bidi/>
        <w:adjustRightInd w:val="0"/>
        <w:rPr>
          <w:color w:val="000000"/>
          <w:rtl/>
        </w:rPr>
      </w:pPr>
    </w:p>
    <w:p w:rsidR="000D72AF" w:rsidRDefault="000D72AF" w:rsidP="0056391C">
      <w:pPr>
        <w:autoSpaceDE w:val="0"/>
        <w:autoSpaceDN w:val="0"/>
        <w:bidi/>
        <w:adjustRightInd w:val="0"/>
        <w:rPr>
          <w:color w:val="000000"/>
          <w:rtl/>
        </w:rPr>
      </w:pPr>
      <w:r w:rsidRPr="000D72AF">
        <w:rPr>
          <w:rFonts w:hint="cs"/>
          <w:color w:val="000000"/>
          <w:rtl/>
        </w:rPr>
        <w:t xml:space="preserve">משנה </w:t>
      </w:r>
      <w:r>
        <w:rPr>
          <w:rFonts w:hint="cs"/>
          <w:color w:val="000000"/>
          <w:rtl/>
        </w:rPr>
        <w:t>יבמות פז: ... והולד ממזר מזה ומזה</w:t>
      </w:r>
    </w:p>
    <w:p w:rsidR="000D72AF" w:rsidRDefault="000D72AF" w:rsidP="000D72AF">
      <w:pPr>
        <w:autoSpaceDE w:val="0"/>
        <w:autoSpaceDN w:val="0"/>
        <w:bidi/>
        <w:adjustRightInd w:val="0"/>
        <w:rPr>
          <w:color w:val="000000"/>
          <w:rtl/>
        </w:rPr>
      </w:pPr>
      <w:r>
        <w:rPr>
          <w:rFonts w:hint="cs"/>
          <w:color w:val="000000"/>
          <w:rtl/>
        </w:rPr>
        <w:t>גמ' שם מדקתני סיפא ... שם פח. מנא לן</w:t>
      </w:r>
    </w:p>
    <w:p w:rsidR="000D72AF" w:rsidRDefault="000D72AF" w:rsidP="000D72AF">
      <w:pPr>
        <w:autoSpaceDE w:val="0"/>
        <w:autoSpaceDN w:val="0"/>
        <w:bidi/>
        <w:adjustRightInd w:val="0"/>
        <w:rPr>
          <w:color w:val="000000"/>
          <w:rtl/>
        </w:rPr>
      </w:pPr>
      <w:r>
        <w:rPr>
          <w:rFonts w:hint="cs"/>
          <w:color w:val="000000"/>
          <w:rtl/>
        </w:rPr>
        <w:t>גמ' שם אלא סברא ... משום עיגונא אקילו ביה רבנן</w:t>
      </w:r>
    </w:p>
    <w:p w:rsidR="000D72AF" w:rsidRDefault="000D72AF" w:rsidP="000D72AF">
      <w:pPr>
        <w:autoSpaceDE w:val="0"/>
        <w:autoSpaceDN w:val="0"/>
        <w:bidi/>
        <w:adjustRightInd w:val="0"/>
        <w:rPr>
          <w:color w:val="000000"/>
          <w:rtl/>
        </w:rPr>
      </w:pPr>
      <w:r>
        <w:rPr>
          <w:rFonts w:hint="cs"/>
          <w:color w:val="000000"/>
          <w:rtl/>
        </w:rPr>
        <w:t>גמ' שם פט. הולד ממזר ... שם צ: מיגדר מילתא שאני</w:t>
      </w:r>
    </w:p>
    <w:p w:rsidR="000D72AF" w:rsidRDefault="000D72AF" w:rsidP="000D72AF">
      <w:pPr>
        <w:autoSpaceDE w:val="0"/>
        <w:autoSpaceDN w:val="0"/>
        <w:bidi/>
        <w:adjustRightInd w:val="0"/>
        <w:rPr>
          <w:rFonts w:hint="cs"/>
          <w:color w:val="000000"/>
          <w:rtl/>
        </w:rPr>
      </w:pPr>
      <w:r>
        <w:rPr>
          <w:rFonts w:hint="cs"/>
          <w:color w:val="000000"/>
          <w:rtl/>
        </w:rPr>
        <w:t>תוספות שם פח. ד"ה מתוך חומר</w:t>
      </w:r>
    </w:p>
    <w:p w:rsidR="00F911AA" w:rsidRDefault="00F911AA" w:rsidP="00F911AA">
      <w:pPr>
        <w:autoSpaceDE w:val="0"/>
        <w:autoSpaceDN w:val="0"/>
        <w:bidi/>
        <w:adjustRightInd w:val="0"/>
        <w:rPr>
          <w:color w:val="000000"/>
          <w:rtl/>
        </w:rPr>
      </w:pPr>
      <w:r>
        <w:rPr>
          <w:rFonts w:hint="cs"/>
          <w:color w:val="000000"/>
          <w:rtl/>
        </w:rPr>
        <w:t>חידושי הריטב"א שם ד"ה מתוך חומר</w:t>
      </w:r>
      <w:bookmarkStart w:id="0" w:name="_GoBack"/>
      <w:bookmarkEnd w:id="0"/>
    </w:p>
    <w:p w:rsidR="000D72AF" w:rsidRPr="000D72AF" w:rsidRDefault="000D72AF" w:rsidP="000D72AF">
      <w:pPr>
        <w:autoSpaceDE w:val="0"/>
        <w:autoSpaceDN w:val="0"/>
        <w:bidi/>
        <w:adjustRightInd w:val="0"/>
        <w:rPr>
          <w:color w:val="000000"/>
          <w:rtl/>
        </w:rPr>
      </w:pPr>
    </w:p>
    <w:p w:rsidR="000D72AF" w:rsidRDefault="000D72AF" w:rsidP="000D72AF">
      <w:pPr>
        <w:autoSpaceDE w:val="0"/>
        <w:autoSpaceDN w:val="0"/>
        <w:bidi/>
        <w:adjustRightInd w:val="0"/>
        <w:rPr>
          <w:b/>
          <w:bCs/>
          <w:color w:val="000000"/>
        </w:rPr>
      </w:pPr>
    </w:p>
    <w:p w:rsidR="00E52F85" w:rsidRPr="00F911AA" w:rsidRDefault="00E52F85" w:rsidP="000D72AF">
      <w:pPr>
        <w:autoSpaceDE w:val="0"/>
        <w:autoSpaceDN w:val="0"/>
        <w:bidi/>
        <w:adjustRightInd w:val="0"/>
        <w:rPr>
          <w:u w:val="single"/>
        </w:rPr>
      </w:pPr>
      <w:r w:rsidRPr="00F911AA">
        <w:rPr>
          <w:color w:val="000000"/>
          <w:u w:val="single"/>
          <w:rtl/>
        </w:rPr>
        <w:t>יבמות פרק האשה רבה [</w:t>
      </w:r>
      <w:r w:rsidRPr="00F911AA">
        <w:rPr>
          <w:rFonts w:hint="cs"/>
          <w:color w:val="000000"/>
          <w:u w:val="single"/>
          <w:rtl/>
        </w:rPr>
        <w:t>פז:</w:t>
      </w:r>
      <w:r w:rsidRPr="00F911AA">
        <w:rPr>
          <w:color w:val="000000"/>
          <w:u w:val="single"/>
          <w:rtl/>
        </w:rPr>
        <w:t>]</w:t>
      </w:r>
      <w:r w:rsidRPr="00F911AA">
        <w:rPr>
          <w:u w:val="single"/>
        </w:rPr>
        <w:t xml:space="preserve"> </w:t>
      </w:r>
    </w:p>
    <w:p w:rsidR="00E52F85" w:rsidRDefault="00E52F85" w:rsidP="00E52F85">
      <w:pPr>
        <w:autoSpaceDE w:val="0"/>
        <w:autoSpaceDN w:val="0"/>
        <w:bidi/>
        <w:adjustRightInd w:val="0"/>
        <w:rPr>
          <w:color w:val="000000"/>
          <w:rtl/>
        </w:rPr>
      </w:pPr>
      <w:r>
        <w:rPr>
          <w:color w:val="000000"/>
          <w:rtl/>
        </w:rPr>
        <w:t xml:space="preserve">/מתני'/. האשה שהלך בעלה למדינת הים, ובאו ואמרו לה מת בעליך וניסת, ואח"כ בא בעלה - תצא מזה ומזה, וצריכה גט מזה ומזה; ואין לה כתובה, ולא פירות, ולא מזונות, ולא בלאות - לא על זה ולא על זה, ואם נטלה מזה ומזה - תחזיר; והולד ממזר מזה ומזה; </w:t>
      </w:r>
      <w:r>
        <w:rPr>
          <w:rFonts w:hint="cs"/>
          <w:color w:val="000000"/>
          <w:rtl/>
        </w:rPr>
        <w:t>...</w:t>
      </w:r>
    </w:p>
    <w:p w:rsidR="00E52F85" w:rsidRDefault="00E52F85" w:rsidP="00E52F85">
      <w:pPr>
        <w:autoSpaceDE w:val="0"/>
        <w:autoSpaceDN w:val="0"/>
        <w:bidi/>
        <w:adjustRightInd w:val="0"/>
        <w:rPr>
          <w:color w:val="000000"/>
          <w:rtl/>
        </w:rPr>
      </w:pPr>
      <w:r>
        <w:rPr>
          <w:color w:val="000000"/>
          <w:rtl/>
        </w:rPr>
        <w:t xml:space="preserve">גמ'. מדקתני סיפא: נשאת שלא ברשות מותרת לחזור לו, שלא ברשות ב"ד אלא בעדים, מכלל דרישא ברשות ב"ד ובעד אחד, אלמא עד אחד נאמן; ותנן נמי: הוחזקו להיות משיאין עד מפי עד, ואשה מפי אשה, ואשה מפי עבד ומפי שפחה, אלמא עד אחד מהימן; ותנן נמי: עד אחד אומר אכלת חלב, והוא אומר לא אכלתי - פטור, טעמא דאמר לא אכלתי, הא אישתיק מהימן, אלמא עד אחד מהימן מדאורייתא. מנא לן? </w:t>
      </w:r>
      <w:r>
        <w:rPr>
          <w:rFonts w:hint="cs"/>
          <w:color w:val="000000"/>
          <w:rtl/>
        </w:rPr>
        <w:t xml:space="preserve">... </w:t>
      </w:r>
      <w:r>
        <w:rPr>
          <w:color w:val="000000"/>
          <w:rtl/>
        </w:rPr>
        <w:t xml:space="preserve"> אלא סברא היא, מידי דהוה אחתיכה ספק של חלב ספק של שומן, ואתא עד אחד ואמר ברי לי דשומן הוא, דמהימן. מי דמי? התם לא איתחזק איסורא, הכא איתחזק איסורא דאשת איש, ואין דבר שבערוה פחות משנים! הא לא דמיא אלא לחתיכה דודאי חלב, ואתא עד אחד ואמר ברי לי דשומן הוה, דלא מהימן! מי דמי? התם אפי' אתו בי מאה לא מהימני, הכא כיון דכי אתו בי תרי מהימני, חד נמי להימניה, מידי דהוה אטבל, הקדש, וקונמות. האי טבל היכי דמי? אי דידיה - משום דבידו לתקנו, אלא דאחר, מאי קסבר? אי קא סבר: תורם משלו על של חברו - אינו צריך דעת בעלים, משום דבידו לתקנו, ואי קסבר: צריך דעת בעלים, ואמר אנא ידענא ביה דמתקן, היא גופה מנלן? הקדש נמי, אי קדושת דמים - משום דבידו לפדותו, אי קדושת הגוף, אי דידיה - משום דבידו לאיתשולי עליה, אלא דאחר, ואמר ידענא ביה דאיתשיל מריה עליה, היא גופה מנלן? קונמות נמי, אי קסבר: יש מעילה בקונמות וקדושת דמים נחתא להו, משום דבידו לפדותו, ואי קסבר: אין מעילה בקונמות, ואיסור בעלמא הוא דרכיב להו אכתפיה, אי דידיה - משום דבידו לאיתשולי עליה, אלא דאחר, ואמר אנא ידענא דאיתשיל מריה עליה, היא גופה מנלן? אמר ר' זירא: מתוך חומר שהחמרת עליה בסופה הקלת עליה בתחלה, לא ליחמיר ולא ליקיל! משום עיגונא אקילו בה רבנן. </w:t>
      </w:r>
    </w:p>
    <w:p w:rsidR="00E52F85" w:rsidRDefault="00E52F85" w:rsidP="00E52F85">
      <w:pPr>
        <w:autoSpaceDE w:val="0"/>
        <w:autoSpaceDN w:val="0"/>
        <w:bidi/>
        <w:adjustRightInd w:val="0"/>
        <w:rPr>
          <w:color w:val="000000"/>
          <w:rtl/>
        </w:rPr>
      </w:pPr>
      <w:r>
        <w:rPr>
          <w:rFonts w:hint="cs"/>
          <w:color w:val="000000"/>
          <w:rtl/>
        </w:rPr>
        <w:t>...</w:t>
      </w:r>
    </w:p>
    <w:p w:rsidR="00E52F85" w:rsidRDefault="00E52F85" w:rsidP="00E52F85">
      <w:pPr>
        <w:autoSpaceDE w:val="0"/>
        <w:autoSpaceDN w:val="0"/>
        <w:bidi/>
        <w:adjustRightInd w:val="0"/>
        <w:rPr>
          <w:rFonts w:hint="cs"/>
          <w:color w:val="000000"/>
          <w:rtl/>
        </w:rPr>
      </w:pPr>
      <w:r>
        <w:rPr>
          <w:color w:val="000000"/>
          <w:rtl/>
        </w:rPr>
        <w:t xml:space="preserve">הולד ממזר. </w:t>
      </w:r>
      <w:r w:rsidRPr="00E52F85">
        <w:rPr>
          <w:color w:val="000000"/>
          <w:sz w:val="20"/>
          <w:szCs w:val="20"/>
          <w:rtl/>
        </w:rPr>
        <w:t>תנן התם: אין תורמין מן הטמא על הטהור, ואם תרם, בשוגג - תרומתו תרומה, במזיד - לא עשה ולא כלום. מאי לא עשה ולא כלום? א"ר חסדא: לא עשה ולא כלום כל עיקר, דאפילו ההיא גריוא הדר לטיבליה; רב נתן ברבי אושעיא אמר: לא עשה ולא כלום לתקן את השירים, אבל תרומה הוי. רב חסדא לא אמר כרב נתן בר' אושעיא, דאי אמרת הוי תרומה, זימנין דפשע ולא מפריש. מאי שנא מהא דתנן: התורם קישות ונמצאת מרה, אבטיח ונמצאת סרוח - תרומה, ויחזור ויתרום? שוגג אמזיד קרמית? שוגג לא עבד איסורא, מזיד קעבד איסורא. ורמי שוגג אשוגג, הכא קתני: בשוגג - תרומתו תרומה, התם קתני: תרומה, ויחזור ויתרום! התם שוגג קרוב למזיד, דאיבעי ליה למיטעמיה. ורמי מזיד אמזיד, הכא קתני: במזיד - לא עשה כלום, התם תנן: התורם משאין נקוב על נקוב - תרומה, ויחזור ויתרום! בתרי מאני ציית, בחד מנא לא ציית. ולרב נתן ברבי אושעיא, דאמר: לא עשה ולא כלום לתקן שירים, אבל תרומה הוי, [</w:t>
      </w:r>
      <w:r w:rsidRPr="00E52F85">
        <w:rPr>
          <w:rFonts w:hint="cs"/>
          <w:color w:val="000000"/>
          <w:sz w:val="20"/>
          <w:szCs w:val="20"/>
          <w:rtl/>
        </w:rPr>
        <w:t>פט:</w:t>
      </w:r>
      <w:r w:rsidRPr="00E52F85">
        <w:rPr>
          <w:color w:val="000000"/>
          <w:sz w:val="20"/>
          <w:szCs w:val="20"/>
          <w:rtl/>
        </w:rPr>
        <w:t>] מאי שנא מהא דתנן: מן הנקוב על שאין נקוב - תרומתו תרומה, ולא תאכל עד שיוציא עליה תרומה ומעשר ממקום אחר! שאני הכא, דמדאורייתא תרומה מעלייתא היא; כדרבי אלעאי, דא"ר אלעאי: מנין לתורם מן הרעה על היפה שתרומתו תרומה? דכתיב: ולא תשאו עליו חטא בהרימכם את חלבו ממנו, ואם אין קדוש נשיאות חטא למה? מיכן, לתורם מן הרעה על היפה שתרומתו תרומה.</w:t>
      </w:r>
      <w:r>
        <w:rPr>
          <w:color w:val="000000"/>
          <w:rtl/>
        </w:rPr>
        <w:t xml:space="preserve"> א"ל רבה לרב חסדא: לדידך דאמרת לא עשה ולא כלום כל עיקר, דאפי' ההוא גריוא הדר לטיבליה, מ"ט? גזירה דלמא פשע ולא מפריש, מי איכא מידי דמדאורייתא הוי תרומה, ומשום דלמא פשע אפקוה רבנן לחולין? וכי ב"ד מתנין לעקור דבר מן התורה? א"ל: ואת לא תסברא? והתנן: הולד ממזר מזה ומזה; בשלמא משני ממזר, אלא מראשון אמאי? אשתו היא וישראל מעליא הוא, וקא שרינן ליה בממזרת! א"ל, הכי אמר שמואל: אסור בממזרת. וכן כי אתא רבין א"ר יוחנן: אסור בממזרת. ואמאי קרי ליה ממזר? לאוסרו בבת ישראל. שלח ליה רב חסדא לרבה ביד רב אחא בר רב הונא: ואין ב"ד מתנין לעקור דבר מן התורה? והתניא: מאימתי אדם יורש את אשתו קטנה? ב"ש אומרים: משתעמוד בקומתה, וב"ה אומרים: משתכנס לחופה, רבי אליעזר אומר: </w:t>
      </w:r>
      <w:r>
        <w:rPr>
          <w:color w:val="000000"/>
          <w:rtl/>
        </w:rPr>
        <w:lastRenderedPageBreak/>
        <w:t xml:space="preserve">משתבעל, ויורשה ומיטמא לה ואוכלת בגינו תרומה. ב"ש אומרים משתעמוד בקומתה, אף על גב דלא נכנסה לחופה? אימא: משתעמוד בקומתה ותכנס לחופה, והכי קאמרו ליה ב"ש לב"ה: דקאמריתו משתכנס לחופה, אי עמדה בקומתה - מהניא לה חופה, ואי לא - לא מהניא לה חופה. ר' אליעזר אומר: משתבעל, והאמר ר' אליעזר: אין מעשה קטנה כלום! אימא: משתגדיל ותבעל. קתני מיהת יורשה, והא הכא דמדאורייתא אבוה ירית לה, ומדרבנן ירית לה בעל! הפקר ב"ד היה הפקר, דאמר ר' יצחק: מנין שהפקר ב"ד היה הפקר? שנא': כל אשר לא יבא לשלשת הימים בעצת השרים והזקנים יחרם כל רכושו והוא יבדל מקהל הגולה. ר' אלעזר אמר, מהכא: אלה הנחלות אשר נחלו אלעזר הכהן ויהושע בן נון וראשי האבות למטות בני ישראל, וכי מה ענין ראשים אצל אבות? אלא לומר לך: מה אבות מנחילין בניהם כל מה שירצו, אף ראשים מנחילין את העם כל מה שירצו. ומיטמא לה. והא הכא דמדאורייתא אביה מיטמא לה, ומדרבנן מיטמא לה בעל! משום דהויא לה מת מצוה. ומי הוי מת מצוה? והתניא: אי זהו מת מצוה? כל שאין לו קוברין, קורא ואחרים עונין אותו - אין זה מת מצוה! הכא נמי, כיון דלא ירתי לה, קריא ולא ענו לה. [דף צ עמוד א] ואוכלת בגינו תרומה - בתרומה דרבנן. ת"ש: אכל תרומה טמאה - משלם חולין טהורים; שילם חולין טמאים, סומכוס אומר משום ר' מאיר: בשוגג - תשלומיו תשלומין, במזיד - אין תשלומיו תשלומין, וחכמים אומרים: אחד זה ואחד זה - תשלומיו תשלומין, וחוזר ומשלם חולין טהורין; והוינן בה, במזיד אין תשלומיו תשלומין? תבא עליו ברכה, דאכל מיניה מידי דלא קחזי ליה בימי טומאתו, וקא משלם מידי דקחזי ליה בימי טומאתו! ואמר רבא, ואמרי לה כדי, חסורי מיחסרא והכי קתני: אכל תרומה טמאה - משלם כל דהו, אכל תרומה טהורה - משלם חולין טהורין; שילם חולין טמאים, סומכוס אומר משום ר' מאיר: בשוגג - תשלומיו תשלומין, במזיד - אין תשלומיו תשלומין, וחכ"א: בין בשוגג בין במזיד - תשלומיו תשלומין, וחוזר ומשלם חולין טהורין; והא הכא דמדאורייתא תשלומי מעליא הוי, דאי מקדש בהו כהן אשה - תפסו לה קידושי, ואמור רבנן אין תשלומיו תשלומין, וקשרינן אשת איש לעלמא! מאי אין תשלומיו תשלומין דקאמר רבי מאיר? דבעי למיהדר שלומי חולין טהורין. אי הכי, סומכוס היינו רבנן! אמר רב אחא בריה דרב איקא: קנסו שוגג אטו מזיד איכא בינייהו. תא שמע: דם שנטמא וזרקו בשוגג - הורצה, במזיד - לא הורצה; והא הכא דמדאורייתא ארצויי מרצה, דתניא: על מה הציץ מרצה? על הדם ועל הבשר ועל החלב, שנטמא בין בשוגג בין במזיד, בין באונס בין ברצון, בין ביחיד בין בצבור, ואמרי רבנן לא הורצה, וקא הדר מעייל חולין לעזרה! אמר רבי יוסי בר חנינא: מאי לא הורצה דקאמר? להתיר בשר באכילה, אבל בעלים נתכפרו בו. סוף סוף קמתעקרא אכילת בשר, וכתיב: ואכלו אתם אשר כפר בהם, מלמד, שהכהנים אוכלים ובעלים מתכפרים! א"ל: שב ואל תעשה שאני. [דף צ עמוד ב] אמר ליה: בעאי לאותובך ערל, הזאה, ואזמל, סדין בציצית, וכבשי עצרת, ושופר, ולולב, השתא דשנית לן: שב ואל תעשה לא מיעקר הוא, כולהו נמי שב ואל תעשה נינהו. ת"ש: אליו תשמעון - אפילו אומר לך עבור על אחת מכל מצות שבתורה, כגון אליהו בהר הכרמל, הכל לפי שעה שמע לו! שאני התם, דכתיב: אליו תשמעון. וליגמר מיניה! מיגדר מילתא שאני. ת"ש: בטלו - מבוטל, דברי רבי, רבן שמעון בן גמליאל אומר: אינו יכול לא לבטלו ולא להוסיף על תנאו, א"כ מה כח ב"ד יפה; והא הכא דמדאורייתא בטל גט, ומשום מה כח בית דין קא שרינן אשת איש לעלמא! מאן דמקדש - אדעתא דרבנן מקדש, ואפקעינהו רבנן לקידושין. א"ל רבינא לרב אשי: התינח דקדיש בכספא, קדיש בביאה מאי איכא למימר? שויוה רבנן לבעילתו בעילת זנות. ת"ש, א"ר אלעזר בן יעקב: שמעתי, שב"ד מכין ועונשין שלא מן התורה, ולא לעבור על דברי תורה - אלא לעשות סייג לתורה; ומעשה באדם אחד שרכב על סוס בשבת בימי יונים, והביאוהו לב"ד וסקלוהו, לא מפני שראוי לכך - אלא שהשעה צריכה לכך; ושוב מעשה באדם אחד שהטיח באשתו תחת התאנה, והביאוהו לבית דין והלקוהו, לא מפני שראוי לכך - אלא שהשעה צריכה לכך! מיגדר מילתא שאני. </w:t>
      </w:r>
    </w:p>
    <w:p w:rsidR="00F911AA" w:rsidRDefault="00F911AA" w:rsidP="00F911AA">
      <w:pPr>
        <w:autoSpaceDE w:val="0"/>
        <w:autoSpaceDN w:val="0"/>
        <w:bidi/>
        <w:adjustRightInd w:val="0"/>
        <w:rPr>
          <w:rFonts w:hint="cs"/>
          <w:color w:val="000000"/>
          <w:rtl/>
        </w:rPr>
      </w:pPr>
    </w:p>
    <w:p w:rsidR="00F911AA" w:rsidRPr="00F911AA" w:rsidRDefault="00F911AA" w:rsidP="00F911AA">
      <w:pPr>
        <w:autoSpaceDE w:val="0"/>
        <w:autoSpaceDN w:val="0"/>
        <w:bidi/>
        <w:adjustRightInd w:val="0"/>
      </w:pPr>
      <w:r w:rsidRPr="00F911AA">
        <w:rPr>
          <w:color w:val="000000"/>
          <w:rtl/>
        </w:rPr>
        <w:t xml:space="preserve">תוספות </w:t>
      </w:r>
      <w:r w:rsidRPr="00F911AA">
        <w:rPr>
          <w:rFonts w:hint="cs"/>
          <w:color w:val="000000"/>
          <w:rtl/>
        </w:rPr>
        <w:t>שם פח.</w:t>
      </w:r>
    </w:p>
    <w:p w:rsidR="00F911AA" w:rsidRPr="00F911AA" w:rsidRDefault="00F911AA" w:rsidP="00F911AA">
      <w:pPr>
        <w:autoSpaceDE w:val="0"/>
        <w:autoSpaceDN w:val="0"/>
        <w:bidi/>
        <w:adjustRightInd w:val="0"/>
        <w:rPr>
          <w:color w:val="000000"/>
          <w:rtl/>
        </w:rPr>
      </w:pPr>
      <w:r w:rsidRPr="00F911AA">
        <w:rPr>
          <w:b/>
          <w:bCs/>
          <w:color w:val="000000"/>
          <w:rtl/>
        </w:rPr>
        <w:t>מתוך חומר שהחמרת עליה בסופה</w:t>
      </w:r>
      <w:r w:rsidRPr="00F911AA">
        <w:rPr>
          <w:color w:val="000000"/>
          <w:rtl/>
        </w:rPr>
        <w:t xml:space="preserve"> כו' - נראה לר"י דלית לן למימר אנן סהדי דדייקא ומינסבא ונאמן עד אחד בכך מן התורה אלא מתקנת חכמים הוא דנאמן ואין זה עקירת דבר מן התורה כיון שדומה הדבר הגון להאמין כמו שאפרש לקמן בפרקין (דף פט:) שבדבר שיש קצת טעם וסמך לא חשיב עוקר דבר מן התורה.</w:t>
      </w:r>
    </w:p>
    <w:p w:rsidR="00F911AA" w:rsidRDefault="00F911AA" w:rsidP="00F911AA">
      <w:pPr>
        <w:autoSpaceDE w:val="0"/>
        <w:autoSpaceDN w:val="0"/>
        <w:bidi/>
        <w:adjustRightInd w:val="0"/>
        <w:rPr>
          <w:rFonts w:hint="cs"/>
          <w:color w:val="000000"/>
          <w:rtl/>
        </w:rPr>
      </w:pPr>
    </w:p>
    <w:p w:rsidR="00F911AA" w:rsidRPr="00F911AA" w:rsidRDefault="00F911AA" w:rsidP="00F911AA">
      <w:pPr>
        <w:autoSpaceDE w:val="0"/>
        <w:autoSpaceDN w:val="0"/>
        <w:bidi/>
        <w:adjustRightInd w:val="0"/>
        <w:rPr>
          <w:u w:val="single"/>
        </w:rPr>
      </w:pPr>
      <w:r w:rsidRPr="00F911AA">
        <w:rPr>
          <w:color w:val="000000"/>
          <w:u w:val="single"/>
          <w:rtl/>
        </w:rPr>
        <w:t xml:space="preserve">חדושי הריטב"א </w:t>
      </w:r>
      <w:r w:rsidRPr="00F911AA">
        <w:rPr>
          <w:rFonts w:hint="cs"/>
          <w:color w:val="000000"/>
          <w:u w:val="single"/>
          <w:rtl/>
        </w:rPr>
        <w:t>שם</w:t>
      </w:r>
    </w:p>
    <w:p w:rsidR="00F911AA" w:rsidRDefault="00F911AA" w:rsidP="00F911AA">
      <w:pPr>
        <w:autoSpaceDE w:val="0"/>
        <w:autoSpaceDN w:val="0"/>
        <w:bidi/>
        <w:adjustRightInd w:val="0"/>
        <w:rPr>
          <w:color w:val="000000"/>
          <w:rtl/>
        </w:rPr>
      </w:pPr>
      <w:r w:rsidRPr="00F911AA">
        <w:rPr>
          <w:b/>
          <w:bCs/>
          <w:color w:val="000000"/>
          <w:rtl/>
        </w:rPr>
        <w:t>מתוך חומר שהחמרת עליה בסופה הקלת עליה בתחלתה</w:t>
      </w:r>
      <w:r>
        <w:rPr>
          <w:color w:val="000000"/>
          <w:rtl/>
        </w:rPr>
        <w:t xml:space="preserve">. ותמיה מילתא היאך סמכו חכמים להתיר מפני זה איסור אשת איש חמור שאינו מן התורה בפחות משנים, ולקמן בשמעתא דב"ד מתנין לעקור דבר מן התורה, היאך לא הביאו ראיה מזו והביאו ראיה מכמה דברים שנדחו, ומגופא דסיפא דמתני' דקתני הולד ממזר ואדחי' לה ולא פשטוה מהא דלית ליה שום דחיה. וי"מ דאפקעינהו רבנן לקדושין מיניה, ולא מחוור לרבינו ז"ל דא"כ הוה לן לאדכורה הכא כדמדכרי' בכל דוכתא דמפקעי רבנן קדושין, ועוד היכי לא מייתינן לה לקמן כד אייתינן ההיא דבטלו אינו מבוטל, ונפרוך ונפרוק </w:t>
      </w:r>
      <w:r>
        <w:rPr>
          <w:color w:val="000000"/>
          <w:rtl/>
        </w:rPr>
        <w:lastRenderedPageBreak/>
        <w:t>כדעבדינן בההיא, דהא עדיפא לה דהויא בפרקי' והויא הלכה פסוקה, ועוד כיון דרבנן אפקעינהו לקדושי ראשון היכי אמרינן לקמן אחיו של ראשון חולץ מן התורה ואחיו של שני חולץ מדרבנן, איפכא הוה לן למימר, וי"ל דקים להו לרבנן דבמילתא דעבידא לאגלויי שהחמרת עליה בסופה כ"כ, ודאי קושטא קא מסהיד וכי דייקא ומנסבא בדין מנסבא, ואנן סהדי במילתא, ופרסום כזה נחשב בכל מקום כעדות גמורה ואפילו מדאורייתא, והכתוב מסרו לחכמים לדעת איזהו דבר מפורסם וניכר דברי אמת שיהא חשוב כעדות, וזה כפתור ופרח ממ"ה הר"ם ז"ל, והא דאמרינן משום עגונא אקילו בה רבנן, כלומר חכמים שהם מחמירין בכל מקום הקילו בזה לחשבו פרסום ולדונו כעדות ברור כל זמן שלא באו עליו עדי הכחשה כראוי, והיינו דאמר עולא כל מקום שהאמינה תורה עד אחד הרי כאן שנים, אלמא עדות עד אחד שנאמן כשנים בעדות אשה דאורייתא הוא.</w:t>
      </w:r>
    </w:p>
    <w:p w:rsidR="00F911AA" w:rsidRDefault="00F911AA" w:rsidP="00F911AA">
      <w:pPr>
        <w:autoSpaceDE w:val="0"/>
        <w:autoSpaceDN w:val="0"/>
        <w:bidi/>
        <w:adjustRightInd w:val="0"/>
        <w:rPr>
          <w:color w:val="000000"/>
          <w:rtl/>
        </w:rPr>
      </w:pPr>
    </w:p>
    <w:p w:rsidR="00F911AA" w:rsidRDefault="00F911AA" w:rsidP="00F911AA">
      <w:pPr>
        <w:autoSpaceDE w:val="0"/>
        <w:autoSpaceDN w:val="0"/>
        <w:bidi/>
        <w:adjustRightInd w:val="0"/>
        <w:rPr>
          <w:rFonts w:hint="cs"/>
          <w:color w:val="000000"/>
          <w:rtl/>
        </w:rPr>
      </w:pPr>
    </w:p>
    <w:sectPr w:rsidR="00F91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85"/>
    <w:rsid w:val="000D72AF"/>
    <w:rsid w:val="0056391C"/>
    <w:rsid w:val="00786474"/>
    <w:rsid w:val="008D095B"/>
    <w:rsid w:val="00D45B2A"/>
    <w:rsid w:val="00E52F85"/>
    <w:rsid w:val="00F855B4"/>
    <w:rsid w:val="00F911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2022-10-27T11:43:00Z</dcterms:created>
  <dcterms:modified xsi:type="dcterms:W3CDTF">2022-10-27T12:19:00Z</dcterms:modified>
</cp:coreProperties>
</file>