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5B" w:rsidRPr="00132096" w:rsidRDefault="00132096" w:rsidP="00132096">
      <w:pPr>
        <w:bidi/>
        <w:rPr>
          <w:rFonts w:hint="cs"/>
          <w:b/>
          <w:bCs/>
          <w:u w:val="single"/>
          <w:rtl/>
        </w:rPr>
      </w:pPr>
      <w:r w:rsidRPr="00132096">
        <w:rPr>
          <w:rFonts w:hint="cs"/>
          <w:b/>
          <w:bCs/>
          <w:u w:val="single"/>
          <w:rtl/>
        </w:rPr>
        <w:t>בענין תנאי שאיפשר לקיימו</w:t>
      </w:r>
    </w:p>
    <w:p w:rsidR="00132096" w:rsidRPr="00132096" w:rsidRDefault="00132096" w:rsidP="00132096">
      <w:pPr>
        <w:bidi/>
        <w:rPr>
          <w:rFonts w:hint="cs"/>
          <w:rtl/>
        </w:rPr>
      </w:pPr>
      <w:r w:rsidRPr="00132096">
        <w:rPr>
          <w:rFonts w:hint="cs"/>
          <w:rtl/>
        </w:rPr>
        <w:t>משנה ב"מ צד.</w:t>
      </w:r>
    </w:p>
    <w:p w:rsidR="00132096" w:rsidRPr="00132096" w:rsidRDefault="00132096" w:rsidP="00132096">
      <w:pPr>
        <w:bidi/>
        <w:rPr>
          <w:rFonts w:hint="cs"/>
          <w:rtl/>
        </w:rPr>
      </w:pPr>
      <w:r>
        <w:rPr>
          <w:rFonts w:hint="cs"/>
          <w:rtl/>
        </w:rPr>
        <w:t>תוספתא גיטין פ"ה הלי"ב</w:t>
      </w:r>
    </w:p>
    <w:p w:rsidR="00132096" w:rsidRPr="00132096" w:rsidRDefault="00132096" w:rsidP="00132096">
      <w:pPr>
        <w:bidi/>
        <w:rPr>
          <w:rFonts w:hint="cs"/>
          <w:rtl/>
        </w:rPr>
      </w:pPr>
      <w:r w:rsidRPr="00132096">
        <w:rPr>
          <w:rFonts w:hint="cs"/>
          <w:rtl/>
        </w:rPr>
        <w:t>גמ' שם וכל שאפשר ... סוף הפרק</w:t>
      </w:r>
    </w:p>
    <w:p w:rsidR="00132096" w:rsidRPr="00132096" w:rsidRDefault="00132096" w:rsidP="00132096">
      <w:pPr>
        <w:bidi/>
        <w:rPr>
          <w:rFonts w:hint="cs"/>
          <w:rtl/>
        </w:rPr>
      </w:pPr>
      <w:r w:rsidRPr="00132096">
        <w:rPr>
          <w:rFonts w:hint="cs"/>
          <w:rtl/>
        </w:rPr>
        <w:t>גמ' גיטין פד. ת"ר הרי זה גיטך ע"מ שתעלי לרקיע ... שמע מינה</w:t>
      </w:r>
    </w:p>
    <w:p w:rsidR="00132096" w:rsidRPr="00132096" w:rsidRDefault="00132096" w:rsidP="00132096">
      <w:pPr>
        <w:bidi/>
        <w:rPr>
          <w:rFonts w:hint="cs"/>
          <w:rtl/>
        </w:rPr>
      </w:pPr>
      <w:r w:rsidRPr="00132096">
        <w:rPr>
          <w:rFonts w:hint="cs"/>
          <w:rtl/>
        </w:rPr>
        <w:t>תוספות ב"שם ד"ה אמר רב נחמן</w:t>
      </w:r>
    </w:p>
    <w:p w:rsidR="00132096" w:rsidRPr="00132096" w:rsidRDefault="00132096" w:rsidP="00132096">
      <w:pPr>
        <w:bidi/>
        <w:rPr>
          <w:rFonts w:hint="cs"/>
          <w:rtl/>
        </w:rPr>
      </w:pPr>
      <w:r w:rsidRPr="00132096">
        <w:rPr>
          <w:rtl/>
        </w:rPr>
        <w:t>חדושי הריטב"א</w:t>
      </w:r>
      <w:r w:rsidRPr="00132096">
        <w:rPr>
          <w:rFonts w:hint="cs"/>
          <w:rtl/>
        </w:rPr>
        <w:t xml:space="preserve"> שם ד"ה אמר רב נחמן בר יצחק</w:t>
      </w:r>
    </w:p>
    <w:p w:rsidR="00132096" w:rsidRDefault="00132096" w:rsidP="00132096">
      <w:pPr>
        <w:bidi/>
        <w:rPr>
          <w:rFonts w:hint="cs"/>
          <w:b/>
          <w:bCs/>
          <w:u w:val="single"/>
          <w:rtl/>
        </w:rPr>
      </w:pPr>
    </w:p>
    <w:p w:rsidR="00132096" w:rsidRDefault="00132096" w:rsidP="00132096">
      <w:pPr>
        <w:bidi/>
        <w:rPr>
          <w:rFonts w:hint="cs"/>
          <w:b/>
          <w:bCs/>
          <w:u w:val="single"/>
          <w:rtl/>
        </w:rPr>
      </w:pPr>
      <w:bookmarkStart w:id="0" w:name="_GoBack"/>
      <w:bookmarkEnd w:id="0"/>
    </w:p>
    <w:p w:rsidR="00132096" w:rsidRPr="00132096" w:rsidRDefault="00132096" w:rsidP="00132096">
      <w:pPr>
        <w:autoSpaceDE w:val="0"/>
        <w:autoSpaceDN w:val="0"/>
        <w:bidi/>
        <w:adjustRightInd w:val="0"/>
      </w:pPr>
      <w:r w:rsidRPr="00132096">
        <w:rPr>
          <w:color w:val="000000"/>
          <w:u w:val="single"/>
          <w:rtl/>
        </w:rPr>
        <w:t>תוספתא מסכת גיטין (ליברמן) פרק ה הלכה יב</w:t>
      </w:r>
      <w:r w:rsidRPr="00132096">
        <w:t xml:space="preserve"> </w:t>
      </w:r>
    </w:p>
    <w:p w:rsidR="00132096" w:rsidRPr="00132096" w:rsidRDefault="00132096" w:rsidP="00132096">
      <w:pPr>
        <w:bidi/>
        <w:rPr>
          <w:rFonts w:hint="cs"/>
          <w:u w:val="single"/>
          <w:rtl/>
        </w:rPr>
      </w:pPr>
      <w:r w:rsidRPr="00132096">
        <w:rPr>
          <w:color w:val="000000"/>
          <w:rtl/>
        </w:rPr>
        <w:t>על מנת שלא תפרחי באויר על מנת שלא תעברי את הים הגדול ברגליך הרי זה גט על מנת שתפרחי באויר ועל מנת שתעברי הים הגדול ברגליך אינו גט ר' יהודה בן תימא או' בזה גט כלל אמ' ר' יהודה בן תימא כל תניי שאי איפשר לה לעשות והתנה עמה לא נתכוון זה אלא להפליגה בין שאמ' בפה ובין שאמ' בשטר כללו של דבר כל תניי המתקיים בפה מתקיים בשטר כל תניי שאין מתקיים בפה אין מתקיים בשטר.</w:t>
      </w:r>
    </w:p>
    <w:p w:rsidR="00132096" w:rsidRPr="00132096" w:rsidRDefault="00132096" w:rsidP="00132096">
      <w:pPr>
        <w:bidi/>
        <w:rPr>
          <w:rFonts w:hint="cs"/>
          <w:u w:val="single"/>
          <w:rtl/>
        </w:rPr>
      </w:pPr>
    </w:p>
    <w:p w:rsidR="00132096" w:rsidRPr="00132096" w:rsidRDefault="00132096" w:rsidP="00132096">
      <w:pPr>
        <w:autoSpaceDE w:val="0"/>
        <w:autoSpaceDN w:val="0"/>
        <w:bidi/>
        <w:adjustRightInd w:val="0"/>
        <w:rPr>
          <w:rFonts w:hint="cs"/>
          <w:rtl/>
        </w:rPr>
      </w:pPr>
      <w:r w:rsidRPr="00132096">
        <w:rPr>
          <w:color w:val="000000"/>
          <w:u w:val="single"/>
          <w:rtl/>
        </w:rPr>
        <w:t xml:space="preserve">בבא מציעא </w:t>
      </w:r>
      <w:r w:rsidRPr="00132096">
        <w:rPr>
          <w:rFonts w:hint="cs"/>
          <w:color w:val="000000"/>
          <w:u w:val="single"/>
          <w:rtl/>
        </w:rPr>
        <w:t>צד.</w:t>
      </w:r>
      <w:r w:rsidRPr="00132096">
        <w:rPr>
          <w:color w:val="000000"/>
          <w:u w:val="single"/>
          <w:rtl/>
        </w:rPr>
        <w:t xml:space="preserve"> </w:t>
      </w:r>
    </w:p>
    <w:p w:rsidR="00132096" w:rsidRPr="00132096" w:rsidRDefault="00132096" w:rsidP="00132096">
      <w:pPr>
        <w:autoSpaceDE w:val="0"/>
        <w:autoSpaceDN w:val="0"/>
        <w:bidi/>
        <w:adjustRightInd w:val="0"/>
        <w:rPr>
          <w:color w:val="000000"/>
          <w:rtl/>
        </w:rPr>
      </w:pPr>
      <w:r w:rsidRPr="00132096">
        <w:rPr>
          <w:color w:val="000000"/>
          <w:rtl/>
        </w:rPr>
        <w:t xml:space="preserve">משנה. מתנה שומר חנם להיות פטור משבועה, והשואל להיות פטור מלשלם, נושא שכר והשוכר להיות פטורין משבועה ומלשלם. כל המתנה על מה שכתוב בתורה - תנאו בטל, וכל תנאי שיש מעשה בתחילתו - תנאו בטל, וכל שאפשר לו לקיימו בסופו והתנה עמו מתחילתו - תנאו קיים. </w:t>
      </w:r>
    </w:p>
    <w:p w:rsidR="00132096" w:rsidRPr="00132096" w:rsidRDefault="00132096" w:rsidP="00132096">
      <w:pPr>
        <w:autoSpaceDE w:val="0"/>
        <w:autoSpaceDN w:val="0"/>
        <w:bidi/>
        <w:adjustRightInd w:val="0"/>
        <w:rPr>
          <w:color w:val="000000"/>
          <w:rtl/>
        </w:rPr>
      </w:pPr>
      <w:r w:rsidRPr="00132096">
        <w:rPr>
          <w:color w:val="000000"/>
          <w:rtl/>
        </w:rPr>
        <w:t xml:space="preserve">וכל שאפשר לו לקיימו בסופו וכו'. אמר רב טבלא אמר רב: זו דברי רבי יהודה בן תימא, אבל חכמים אומרים: אף על פי שאי אפשר לו לקיימו בסופו והתנה עליו מתחילתו - תנאו קיים. דתניא: הרי זה גיטך על מנת שתעלי לרקיע, על מנת שתרדי לתהום, על מנת שתבלעי קנה של מאה אמה, על מנת שתעברי את הים הגדול ברגליך; נתקיים התנאי - הרי זה גט, לא נתקיים התנאי - אינו גט. רבי יהודה בן תימא אומר: כזה גט. כלל אמר רבי יהודה בן תימא: כל שאי אפשר לו לקיימו בסופו והתנה עליו מתחילתו - אינו אלא כמפליגה, וכשר. אמר רב נחמן אמר רב: הלכה כרבי יהודה בן תימא. אמר רב נחמן בר יצחק: מתניתין נמי דיקא, דקתני: כל שאפשר לו לקיימו בסופו והתנה עליו מתחילתו - תנאו קיים, הא אי אפשר לו לקיימו - תנאו בטל, שמע מינה. הדרן עלך השוכר את הפועלים. </w:t>
      </w:r>
    </w:p>
    <w:p w:rsidR="00132096" w:rsidRPr="00132096" w:rsidRDefault="00132096" w:rsidP="00132096">
      <w:pPr>
        <w:autoSpaceDE w:val="0"/>
        <w:autoSpaceDN w:val="0"/>
        <w:bidi/>
        <w:adjustRightInd w:val="0"/>
        <w:rPr>
          <w:rFonts w:hint="cs"/>
          <w:color w:val="800000"/>
          <w:rtl/>
        </w:rPr>
      </w:pPr>
    </w:p>
    <w:p w:rsidR="00132096" w:rsidRPr="00132096" w:rsidRDefault="00132096" w:rsidP="00132096">
      <w:pPr>
        <w:autoSpaceDE w:val="0"/>
        <w:autoSpaceDN w:val="0"/>
        <w:bidi/>
        <w:adjustRightInd w:val="0"/>
      </w:pPr>
      <w:r w:rsidRPr="00132096">
        <w:rPr>
          <w:color w:val="000000"/>
          <w:u w:val="single"/>
          <w:rtl/>
        </w:rPr>
        <w:t xml:space="preserve">תוספות בבא מציעא </w:t>
      </w:r>
      <w:r w:rsidRPr="00132096">
        <w:rPr>
          <w:rFonts w:hint="cs"/>
          <w:u w:val="single"/>
          <w:rtl/>
        </w:rPr>
        <w:t>שם</w:t>
      </w:r>
    </w:p>
    <w:p w:rsidR="00132096" w:rsidRPr="00132096" w:rsidRDefault="00132096" w:rsidP="00132096">
      <w:pPr>
        <w:autoSpaceDE w:val="0"/>
        <w:autoSpaceDN w:val="0"/>
        <w:bidi/>
        <w:adjustRightInd w:val="0"/>
        <w:rPr>
          <w:color w:val="000000"/>
          <w:rtl/>
        </w:rPr>
      </w:pPr>
      <w:r w:rsidRPr="00132096">
        <w:rPr>
          <w:color w:val="000000"/>
          <w:rtl/>
        </w:rPr>
        <w:t>אמר רב נחמן בר יצחק מתני' נמי דיקא כו' - וא"ת מאי קמ"ל רב נחמן הא רב אמר לעיל זו דברי ר' יהודה בן תימא ועוד מה שייך דיקא מה שהוא בהדיא ואיכא למימר דלא שמיע ליה דרב ושייך נמי דיקא כיון שאינו בפירוש במשנה אבל קשה דהוה ליה למיתני כל שאי אפשר לו לקיים תנאו בטל כי אינך דרישא ונראה לומר [עוד] דרב נחמן הוה ידע להא דרב ומפרש מנליה לרב דמתניתין כוותיה דהא איכא למימר דאתי ככולי עלמא וקאי ארישא דקתני כל המתנה על מה שכתוב בתורה תנאו בטל ויהיב טעמא משום דכל תנאי שאפשר לקיימו בסופו דוקא הוי תנאי קיים אבל מתנה על מה שכתוב בתורה שאי אפשר לו לקיימו תנאו בטל והתנה עליו מתחילתו נמי קאי ארישא דקתני וכל שיש בו מעשה מתחילתו תנאו בטל דוקא התנה עליו מתחילתו תנאו קיים שהתנאי קודם למעשה ודייק דאתיא כרבי יהודה בן תימא מדקתני כל דאי סיומא דרישא הוא לא הוה ליה למיתני כל אלא ואם אפשר לקיימו בסופו והתנה עליו מתחילתו תנאו קיים אלא ודאי סיפא מילתא באפי נפשיה הוא ושום חידוש אתא לאשמועינן אם כן ודאי אתא למידק אפשר אין לא אפשר לא ופי' רבינו שמואל אין נראה לר"י כלל לכך לא כתבתיו.</w:t>
      </w:r>
    </w:p>
    <w:p w:rsidR="00132096" w:rsidRPr="00132096" w:rsidRDefault="00132096" w:rsidP="00132096">
      <w:pPr>
        <w:bidi/>
        <w:rPr>
          <w:rFonts w:hint="cs"/>
          <w:rtl/>
        </w:rPr>
      </w:pPr>
    </w:p>
    <w:p w:rsidR="00132096" w:rsidRPr="00132096" w:rsidRDefault="00132096" w:rsidP="00132096">
      <w:pPr>
        <w:autoSpaceDE w:val="0"/>
        <w:autoSpaceDN w:val="0"/>
        <w:bidi/>
        <w:adjustRightInd w:val="0"/>
      </w:pPr>
      <w:r w:rsidRPr="00132096">
        <w:rPr>
          <w:u w:val="single"/>
          <w:rtl/>
        </w:rPr>
        <w:t xml:space="preserve">חדושי הריטב"א </w:t>
      </w:r>
      <w:r w:rsidRPr="00132096">
        <w:rPr>
          <w:rFonts w:hint="cs"/>
          <w:u w:val="single"/>
          <w:rtl/>
        </w:rPr>
        <w:t>שם</w:t>
      </w:r>
    </w:p>
    <w:p w:rsidR="00132096" w:rsidRPr="00132096" w:rsidRDefault="00132096" w:rsidP="00132096">
      <w:pPr>
        <w:autoSpaceDE w:val="0"/>
        <w:autoSpaceDN w:val="0"/>
        <w:bidi/>
        <w:adjustRightInd w:val="0"/>
        <w:rPr>
          <w:rtl/>
        </w:rPr>
      </w:pPr>
      <w:r w:rsidRPr="00132096">
        <w:rPr>
          <w:rtl/>
        </w:rPr>
        <w:t>אמר רב נחמן בר יצחק מתני' נמי דייקא. וא"ת והא כבר אמרה רב טבלא בשם רב מדקאמר זו דברי ר' יהודה בן תימא, וי"ל דרב נחמן בר יצחק לא אמרה על דברי רב טבלא אלא על דברי הברייתא ומה שפסק רב הלכה כר' יהודה בן תימא, אלא שהתלמוד הביאה כשהביא הברייתא לסיוע דברי רב טבלא בשם רב, וא"ת מכל מקום מאי אשמועינן רב נחמן בר יצחק דהא פשיטא וזיל קרי ביה רב הוא דהכי דייקא מתני', וי"ל דדילמא הו"א דהא דקתני מתניתין תנאו בטל לאו למימרא שהתנאי בטל והמעשה קיים אלא שניהם בטלים ממש, והא קמ"ל דתנאו בטל לאלתר ואף על פי שקבע זמן להשלים תנאו דאנן סהדי שאי אפשר לקיימו, וכיון שכן הרי הוא כאילו נאמר לענין שהוא בטל מעכשיו ושיהא גם כן המעשה בטל, קמ"ל ר"נ בר יצחק דכיון דלא קתני תנא אלא שתנאו בטל לישנא דייק שהתנאי לבדו בטל אבל המעשה קיים, וקרוב לזה תירץ הראב"ד ז"ל, מ"ר נ"ר.</w:t>
      </w:r>
    </w:p>
    <w:p w:rsidR="00132096" w:rsidRPr="00132096" w:rsidRDefault="00132096" w:rsidP="00132096">
      <w:pPr>
        <w:autoSpaceDE w:val="0"/>
        <w:autoSpaceDN w:val="0"/>
        <w:bidi/>
        <w:adjustRightInd w:val="0"/>
        <w:rPr>
          <w:rtl/>
        </w:rPr>
      </w:pPr>
      <w:r w:rsidRPr="00132096">
        <w:rPr>
          <w:rtl/>
        </w:rPr>
        <w:t>הדרן עלך פרק השוכר את הפועלים.</w:t>
      </w:r>
    </w:p>
    <w:p w:rsidR="00132096" w:rsidRPr="00132096" w:rsidRDefault="00132096" w:rsidP="00132096">
      <w:pPr>
        <w:autoSpaceDE w:val="0"/>
        <w:autoSpaceDN w:val="0"/>
        <w:bidi/>
        <w:adjustRightInd w:val="0"/>
        <w:rPr>
          <w:rtl/>
        </w:rPr>
      </w:pPr>
    </w:p>
    <w:p w:rsidR="00132096" w:rsidRPr="00132096" w:rsidRDefault="00132096" w:rsidP="00132096">
      <w:pPr>
        <w:bidi/>
        <w:rPr>
          <w:rFonts w:hint="cs"/>
          <w:rtl/>
        </w:rPr>
      </w:pPr>
    </w:p>
    <w:p w:rsidR="00132096" w:rsidRPr="00132096" w:rsidRDefault="00132096" w:rsidP="00132096">
      <w:pPr>
        <w:bidi/>
        <w:rPr>
          <w:rFonts w:hint="cs"/>
          <w:rtl/>
        </w:rPr>
      </w:pPr>
    </w:p>
    <w:sectPr w:rsidR="00132096" w:rsidRPr="00132096" w:rsidSect="003C0E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096"/>
    <w:rsid w:val="00132096"/>
    <w:rsid w:val="003C0E45"/>
    <w:rsid w:val="00630B1C"/>
    <w:rsid w:val="00786474"/>
    <w:rsid w:val="008D095B"/>
    <w:rsid w:val="00D45B2A"/>
    <w:rsid w:val="00F855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B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2</cp:revision>
  <dcterms:created xsi:type="dcterms:W3CDTF">2022-11-22T15:38:00Z</dcterms:created>
  <dcterms:modified xsi:type="dcterms:W3CDTF">2022-11-22T16:38:00Z</dcterms:modified>
</cp:coreProperties>
</file>