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E7" w:rsidRPr="009955E7" w:rsidRDefault="009955E7" w:rsidP="00DC00F3">
      <w:pPr>
        <w:bidi/>
        <w:rPr>
          <w:u w:val="single"/>
          <w:rtl/>
        </w:rPr>
      </w:pPr>
      <w:r w:rsidRPr="009955E7">
        <w:rPr>
          <w:rFonts w:hint="cs"/>
          <w:u w:val="single"/>
          <w:rtl/>
        </w:rPr>
        <w:t>בענין על מנת שתבעלי לפלוני</w:t>
      </w:r>
    </w:p>
    <w:p w:rsidR="008D095B" w:rsidRDefault="00DC00F3" w:rsidP="009955E7">
      <w:pPr>
        <w:bidi/>
        <w:rPr>
          <w:rtl/>
        </w:rPr>
      </w:pPr>
      <w:r>
        <w:rPr>
          <w:rFonts w:hint="cs"/>
          <w:rtl/>
        </w:rPr>
        <w:t>גמ' גיטין פד. איבעיא להו ... שם: הא מני רבנן היא</w:t>
      </w:r>
    </w:p>
    <w:p w:rsidR="009955E7" w:rsidRDefault="009955E7" w:rsidP="009955E7">
      <w:pPr>
        <w:bidi/>
        <w:rPr>
          <w:rtl/>
        </w:rPr>
      </w:pPr>
      <w:r>
        <w:rPr>
          <w:rFonts w:hint="cs"/>
          <w:rtl/>
        </w:rPr>
        <w:t>[שערי תשובה לרבינו יונה שער א אות ד,ה]</w:t>
      </w:r>
    </w:p>
    <w:p w:rsidR="009955E7" w:rsidRDefault="009955E7" w:rsidP="009955E7">
      <w:pPr>
        <w:bidi/>
        <w:rPr>
          <w:rtl/>
        </w:rPr>
      </w:pPr>
    </w:p>
    <w:p w:rsidR="00DC00F3" w:rsidRDefault="00DC00F3" w:rsidP="00DC00F3">
      <w:pPr>
        <w:bidi/>
        <w:rPr>
          <w:rtl/>
        </w:rPr>
      </w:pPr>
      <w:r>
        <w:rPr>
          <w:rFonts w:hint="cs"/>
          <w:rtl/>
        </w:rPr>
        <w:t>ירושלמי גיטין אמר רבי שמי ... הותר הגט למפרע</w:t>
      </w:r>
    </w:p>
    <w:p w:rsidR="00DC00F3" w:rsidRDefault="00DC00F3" w:rsidP="00DC00F3">
      <w:pPr>
        <w:bidi/>
        <w:rPr>
          <w:rtl/>
        </w:rPr>
      </w:pPr>
      <w:r>
        <w:rPr>
          <w:rFonts w:hint="cs"/>
          <w:rtl/>
        </w:rPr>
        <w:t>רשב"א שם. ד"ה על מנת שתבעלי לפלוני נתקיים התנאי</w:t>
      </w:r>
    </w:p>
    <w:p w:rsidR="00DC00F3" w:rsidRDefault="00DC00F3" w:rsidP="00DC00F3">
      <w:pPr>
        <w:bidi/>
        <w:rPr>
          <w:color w:val="000000"/>
          <w:rtl/>
        </w:rPr>
      </w:pPr>
      <w:r>
        <w:rPr>
          <w:rFonts w:hint="cs"/>
          <w:rtl/>
        </w:rPr>
        <w:t xml:space="preserve">טור אבן העזר סימן קמג  </w:t>
      </w:r>
      <w:r>
        <w:rPr>
          <w:color w:val="000000"/>
          <w:rtl/>
        </w:rPr>
        <w:t xml:space="preserve">ע"מ שתבעלי לפלוני </w:t>
      </w:r>
      <w:r>
        <w:rPr>
          <w:rFonts w:hint="cs"/>
          <w:color w:val="000000"/>
          <w:rtl/>
        </w:rPr>
        <w:t>...</w:t>
      </w:r>
      <w:r>
        <w:rPr>
          <w:color w:val="000000"/>
          <w:rtl/>
        </w:rPr>
        <w:t xml:space="preserve"> פנויה היא למפרע</w:t>
      </w:r>
    </w:p>
    <w:p w:rsidR="00DC00F3" w:rsidRDefault="00DC00F3" w:rsidP="00DC00F3">
      <w:pPr>
        <w:bidi/>
        <w:rPr>
          <w:color w:val="000000"/>
          <w:rtl/>
        </w:rPr>
      </w:pPr>
      <w:r>
        <w:rPr>
          <w:rFonts w:hint="cs"/>
          <w:color w:val="000000"/>
          <w:rtl/>
        </w:rPr>
        <w:t>בית יוסף שם</w:t>
      </w:r>
    </w:p>
    <w:p w:rsidR="00DC00F3" w:rsidRDefault="00DC00F3" w:rsidP="00DC00F3">
      <w:pPr>
        <w:bidi/>
        <w:rPr>
          <w:color w:val="000000"/>
          <w:rtl/>
        </w:rPr>
      </w:pPr>
      <w:r>
        <w:rPr>
          <w:rFonts w:hint="cs"/>
          <w:color w:val="000000"/>
          <w:rtl/>
        </w:rPr>
        <w:t>שו"ע אה"ע שם סעיף יח</w:t>
      </w:r>
    </w:p>
    <w:p w:rsidR="00DC00F3" w:rsidRDefault="00DC00F3" w:rsidP="00DC00F3">
      <w:pPr>
        <w:bidi/>
        <w:rPr>
          <w:color w:val="000000"/>
          <w:rtl/>
        </w:rPr>
      </w:pPr>
      <w:r>
        <w:rPr>
          <w:rFonts w:hint="cs"/>
          <w:color w:val="000000"/>
          <w:rtl/>
        </w:rPr>
        <w:t>תורת גיטין שם ס"ק</w:t>
      </w:r>
      <w:r w:rsidR="009955E7">
        <w:rPr>
          <w:rFonts w:hint="cs"/>
          <w:color w:val="000000"/>
          <w:rtl/>
        </w:rPr>
        <w:t xml:space="preserve"> כג</w:t>
      </w:r>
    </w:p>
    <w:p w:rsidR="00DC00F3" w:rsidRDefault="00DC00F3" w:rsidP="00DC00F3">
      <w:pPr>
        <w:bidi/>
        <w:rPr>
          <w:rtl/>
        </w:rPr>
      </w:pPr>
    </w:p>
    <w:p w:rsidR="00DC00F3" w:rsidRDefault="00DC00F3" w:rsidP="00DC00F3">
      <w:pPr>
        <w:bidi/>
        <w:rPr>
          <w:rtl/>
        </w:rPr>
      </w:pPr>
      <w:r>
        <w:rPr>
          <w:rFonts w:hint="cs"/>
          <w:rtl/>
        </w:rPr>
        <w:t>רש"י שם אין חוששין</w:t>
      </w:r>
    </w:p>
    <w:p w:rsidR="00DC00F3" w:rsidRDefault="00DC00F3" w:rsidP="00DC00F3">
      <w:pPr>
        <w:bidi/>
        <w:rPr>
          <w:rtl/>
        </w:rPr>
      </w:pPr>
      <w:r>
        <w:rPr>
          <w:rFonts w:hint="cs"/>
          <w:rtl/>
        </w:rPr>
        <w:t>תוספות שם ד"ה על מנת שתבעלי</w:t>
      </w:r>
    </w:p>
    <w:p w:rsidR="00DC00F3" w:rsidRDefault="009955E7" w:rsidP="00DC00F3">
      <w:pPr>
        <w:bidi/>
        <w:rPr>
          <w:rtl/>
        </w:rPr>
      </w:pPr>
      <w:r>
        <w:rPr>
          <w:rFonts w:hint="cs"/>
          <w:rtl/>
        </w:rPr>
        <w:t xml:space="preserve">רשב"א שם ד"ה </w:t>
      </w:r>
      <w:r w:rsidRPr="009955E7">
        <w:rPr>
          <w:rtl/>
        </w:rPr>
        <w:t>על</w:t>
      </w:r>
      <w:r>
        <w:rPr>
          <w:color w:val="000000"/>
          <w:rtl/>
        </w:rPr>
        <w:t xml:space="preserve"> מנת שלא תבעלי לאבא ולאביך</w:t>
      </w:r>
    </w:p>
    <w:p w:rsidR="00DC00F3" w:rsidRDefault="00DC00F3" w:rsidP="00DC00F3">
      <w:pPr>
        <w:bidi/>
        <w:rPr>
          <w:rtl/>
        </w:rPr>
      </w:pPr>
    </w:p>
    <w:p w:rsidR="009955E7" w:rsidRDefault="009955E7" w:rsidP="009955E7">
      <w:pPr>
        <w:bidi/>
        <w:rPr>
          <w:rtl/>
        </w:rPr>
      </w:pPr>
    </w:p>
    <w:p w:rsidR="009955E7" w:rsidRPr="009955E7" w:rsidRDefault="009955E7" w:rsidP="009955E7">
      <w:pPr>
        <w:autoSpaceDE w:val="0"/>
        <w:autoSpaceDN w:val="0"/>
        <w:bidi/>
        <w:adjustRightInd w:val="0"/>
        <w:rPr>
          <w:sz w:val="21"/>
          <w:szCs w:val="21"/>
        </w:rPr>
      </w:pPr>
      <w:r w:rsidRPr="009955E7">
        <w:rPr>
          <w:rFonts w:hint="cs"/>
          <w:b/>
          <w:bCs/>
          <w:color w:val="000000"/>
          <w:sz w:val="21"/>
          <w:szCs w:val="21"/>
          <w:u w:val="single"/>
          <w:rtl/>
        </w:rPr>
        <w:t>[</w:t>
      </w:r>
      <w:r w:rsidRPr="009955E7">
        <w:rPr>
          <w:b/>
          <w:bCs/>
          <w:color w:val="000000"/>
          <w:sz w:val="21"/>
          <w:szCs w:val="21"/>
          <w:u w:val="single"/>
          <w:rtl/>
        </w:rPr>
        <w:t>ספר שערי תשובה לרבינו יונה שער א</w:t>
      </w:r>
    </w:p>
    <w:p w:rsidR="009955E7" w:rsidRPr="009955E7" w:rsidRDefault="009955E7" w:rsidP="009955E7">
      <w:pPr>
        <w:autoSpaceDE w:val="0"/>
        <w:autoSpaceDN w:val="0"/>
        <w:bidi/>
        <w:adjustRightInd w:val="0"/>
        <w:rPr>
          <w:color w:val="000000"/>
          <w:sz w:val="21"/>
          <w:szCs w:val="21"/>
          <w:rtl/>
        </w:rPr>
      </w:pPr>
      <w:r w:rsidRPr="009955E7">
        <w:rPr>
          <w:b/>
          <w:bCs/>
          <w:color w:val="000000"/>
          <w:sz w:val="21"/>
          <w:szCs w:val="21"/>
          <w:rtl/>
        </w:rPr>
        <w:t>ד</w:t>
      </w:r>
      <w:r w:rsidRPr="009955E7">
        <w:rPr>
          <w:color w:val="000000"/>
          <w:sz w:val="21"/>
          <w:szCs w:val="21"/>
          <w:rtl/>
        </w:rPr>
        <w:t xml:space="preserve"> ועוד התבונן ברעת המתאחר מן התשובה כי רבה היא, כי לולא התמהמה כי עתה שב איש נאנח במרירות לב ברגזה ובדאגה ודלפה עינו מתוגה, כי יפגשהו יצרו שנית ויזדמן החטא לידו יכבוש את יצרו ויזכור אשר עברה עליו כוס המרירות ולא יוסיף לשתותו עוד, כמו שנאמר (תהלים ד, ה): "רגזו ואל תחטאו" - באורו: רגזו והצטערו על אשר חטאתם ואל תחטאו עוד! כי הזכיר חטאם למעלה (פסוק ג) באמרו: "תבקשו כזב סלה". ויעיד על זה הפירוש אמרו "רגזו" מלשון: "אל תרגזו בדרך" (בראשית מה, כד); "ותחתי ארגז" (חבקוק ג, טז), וענינם הצער על הדבר שעבר ועל ההווה, ולא אמר "יראו" או "גורו". וכאשר יאחר לשוב, בבא החטא לידו יפול במוקשו כנפול בתחלה, ויגדל עוונו האחרון מאד, ותעלה רעתו לפני השם, כי מראשית לא חשב כי פתאום יבוא היצר השודד עליו אך אחרי אשר ראה דלות כחו ואשר גברה יד יצרו עליו וכי עצום הוא ממנו, היה עליו לראות כי פרוע הוא ולשית עצות בנפשו להוסיף בה יראת ה' ולהפיל פחדו עליה ולהצילה ממארב יצרו ולהשתמר מעונו. ואמר שלמה עליו השלום (משלי כו, יא): "ככלב שב על קאו כסיל שונה באולתו" - ביאורו, כי הכלב אוכל דברים נמאסים, וכאשר יקיאם נמאסים יותר והוא שב עליהם לאכלם, כן ענין הכסיל, כי יעשה מעשה מגונה וכאשר ישנה בו מגונה יותר, כאשר בארנו.</w:t>
      </w:r>
    </w:p>
    <w:p w:rsidR="009955E7" w:rsidRPr="009955E7" w:rsidRDefault="009955E7" w:rsidP="009955E7">
      <w:pPr>
        <w:bidi/>
        <w:rPr>
          <w:sz w:val="21"/>
          <w:szCs w:val="21"/>
          <w:rtl/>
        </w:rPr>
      </w:pPr>
      <w:r w:rsidRPr="009955E7">
        <w:rPr>
          <w:b/>
          <w:bCs/>
          <w:color w:val="000000"/>
          <w:sz w:val="21"/>
          <w:szCs w:val="21"/>
          <w:rtl/>
        </w:rPr>
        <w:t>ה</w:t>
      </w:r>
      <w:r w:rsidRPr="009955E7">
        <w:rPr>
          <w:color w:val="000000"/>
          <w:sz w:val="21"/>
          <w:szCs w:val="21"/>
          <w:rtl/>
        </w:rPr>
        <w:t xml:space="preserve"> השנית - כי השונה בחטאו תשובתו קשה כי נעשה לו החטא כהיתר, ובזה כבדה מאד חטאתו, כמו שנאמר (ירמיה ג, ה): "הנה דברת ותעשי הרעות ותוכל" - ביאור "ותוכל", כי הרעות נעשות לך כהיתר וכדבר שהוא ביכלתך וברשותך, מלשון: "לא תוכל לאכול בשעריך" (דברים יב, יז), שתרגומו: לית לך רשו. ואמרו רבותינו זכרונם לברכה (קדושין מ א): כיון שעבר אדם עבירה ושנה בה נעשית לו כהיתר. ואמרו רבותינו זכרונם לברכה (שם) על איש שעבר עבירה ושנה בה, כי מכאן ואילך אם יחשוב לעשות העבירה ונאנס ולא עשאה, מחשבתו הרעה מצטרפת למעשה, ועליו נאמר (ירמיהו ו, יט): "הנה אנכי מביא רעה אל העם הזה פרי מחשבותם".</w:t>
      </w:r>
      <w:r w:rsidRPr="009955E7">
        <w:rPr>
          <w:rFonts w:hint="cs"/>
          <w:color w:val="000000"/>
          <w:sz w:val="21"/>
          <w:szCs w:val="21"/>
          <w:rtl/>
        </w:rPr>
        <w:t>]</w:t>
      </w:r>
    </w:p>
    <w:p w:rsidR="00DC00F3" w:rsidRDefault="00DC00F3" w:rsidP="00DC00F3">
      <w:pPr>
        <w:bidi/>
        <w:rPr>
          <w:rtl/>
        </w:rPr>
      </w:pPr>
    </w:p>
    <w:p w:rsidR="00DC00F3" w:rsidRDefault="00DC00F3" w:rsidP="00DC00F3">
      <w:pPr>
        <w:autoSpaceDE w:val="0"/>
        <w:autoSpaceDN w:val="0"/>
        <w:bidi/>
        <w:adjustRightInd w:val="0"/>
      </w:pPr>
      <w:r>
        <w:rPr>
          <w:b/>
          <w:bCs/>
          <w:color w:val="000000"/>
          <w:sz w:val="20"/>
          <w:szCs w:val="20"/>
          <w:u w:val="single"/>
          <w:rtl/>
        </w:rPr>
        <w:t>תלמוד ירושלמי מסכת גיטין פרק ט הלכה א</w:t>
      </w:r>
      <w:r>
        <w:t xml:space="preserve"> </w:t>
      </w:r>
    </w:p>
    <w:p w:rsidR="00DC00F3" w:rsidRDefault="00DC00F3" w:rsidP="00DC00F3">
      <w:pPr>
        <w:bidi/>
        <w:rPr>
          <w:color w:val="000000"/>
          <w:rtl/>
        </w:rPr>
      </w:pPr>
      <w:r>
        <w:rPr>
          <w:color w:val="000000"/>
          <w:rtl/>
        </w:rPr>
        <w:t>אמר רבי שמי מצינו אשה בתחלה אין חייבין עליה משום ערוה ובסוף חייבין עליה משום ערוה. אמר ליה רבי מנא למה זה דומה לאחד שאמר לאשתו הרי זה גיטיך על מנת שתיבעלי לאיש פלוני בתחילה הוא אסור לבעול עבר ובעל הותר הגט למפרע.</w:t>
      </w:r>
    </w:p>
    <w:p w:rsidR="00DC00F3" w:rsidRDefault="00DC00F3" w:rsidP="00DC00F3">
      <w:pPr>
        <w:bidi/>
        <w:rPr>
          <w:color w:val="000000"/>
          <w:rtl/>
        </w:rPr>
      </w:pPr>
    </w:p>
    <w:p w:rsidR="00DC00F3" w:rsidRDefault="00DC00F3" w:rsidP="00DC00F3">
      <w:pPr>
        <w:autoSpaceDE w:val="0"/>
        <w:autoSpaceDN w:val="0"/>
        <w:bidi/>
        <w:adjustRightInd w:val="0"/>
      </w:pPr>
      <w:r>
        <w:rPr>
          <w:b/>
          <w:bCs/>
          <w:color w:val="000000"/>
          <w:sz w:val="20"/>
          <w:szCs w:val="20"/>
          <w:u w:val="single"/>
          <w:rtl/>
        </w:rPr>
        <w:t>חדושי הרשב"א מסכת גיטין דף פד עמוד א</w:t>
      </w:r>
      <w:r>
        <w:t xml:space="preserve"> </w:t>
      </w:r>
    </w:p>
    <w:p w:rsidR="00DC00F3" w:rsidRDefault="00DC00F3" w:rsidP="00DC00F3">
      <w:pPr>
        <w:autoSpaceDE w:val="0"/>
        <w:autoSpaceDN w:val="0"/>
        <w:bidi/>
        <w:adjustRightInd w:val="0"/>
        <w:rPr>
          <w:color w:val="000000"/>
          <w:rtl/>
        </w:rPr>
      </w:pPr>
      <w:r w:rsidRPr="009955E7">
        <w:rPr>
          <w:color w:val="000000"/>
          <w:rtl/>
        </w:rPr>
        <w:t>על</w:t>
      </w:r>
      <w:r>
        <w:rPr>
          <w:color w:val="000000"/>
          <w:rtl/>
        </w:rPr>
        <w:t xml:space="preserve"> מנת שתבעלי לפלוני נתקיים התנאי הרי זה גט. מיהו איפשר דלכתחלה לא תבעל לו דהא אינה מגורשת עד שתבעל לו נמצאת תחלת ביאה באיסור, דעודה אשת איש, והכי איתא בירושלמי ע"מ שתתבעלי מפלוני בתחלה הוא אסור לבעול עבר ובעל הותר הגט למפרע, והא דאמרי' לעיל ע"מ שתנשאי לפלוני הרי זו לא תנשא לו ופרישנא טעמא כדי שלא יאמרו נשותיהן נותנין במתנה הא לאו הכי מותרת לינשא לו היינו משום דהתם ע"מ שתנשאי לו קאמר וכיון שנכנסה לחופה נתקיים התנאי דחופה עושה נישואין ובחופה ליכא איסורא והילכך טעמא דשלא יאמרו נשותיהן נותנים במתנה הא לאו הכי מותרת לינשא לו. ומיהו איכא למידק דהא כל האומר ע"מ כאומר מעכשיו דמי (ע"ד א') ואם נקרע הגט או נאבד מקיימת תנאה ומגורשת א"כ כשבועל פנויה הוא בועל דכל שמקיימת תנאה הרי זו מגורשת למפרע, ושמא הא דירושלמי כמאן דאמר האומר ע"מ לאו כאומר מעכשיו וה"ל כמאן דאמר ה"ז גיטיך לכשתבעלי לפלוני דאסור לבעול ואם עבר ובעל הותר הגט, אלא דקשיא דהותר הגט למפרע קאמר, ואי איפשר לומר דלכתחלה הוא אסור לבעול משום פנויה קאמר דעל הא דר' אליעזר גרסינן לה התם, וה"ג אמר ר' שמיי מצינו אשה בתחלה אין חייבין עליה משום </w:t>
      </w:r>
      <w:r>
        <w:rPr>
          <w:color w:val="000000"/>
          <w:rtl/>
        </w:rPr>
        <w:lastRenderedPageBreak/>
        <w:t>ערוה ובסוף חייבין עליה משום ערוה א"ל ר' מנא למה לא למה זה דומה לאחד שאמר לאשתו הרי זה גיטיך על מנת שתתבעלי מפלוני בתחלה הוא אסור לבעול עבר ובעל הותר הגט למפרע אלמא משום ערוה קאמר וצ"ע. ועוד דקשיא לי דא"כ מאי שנא ע"מ שתבעלי לפלוני מעל מנת שתבעלי לאבא ולאביך דכאן וכאן לכתחלה איסור ערות אשת איש איכא, ומיהו בזו איפשר לקיומי תנאה באחר בלא איסור וכגון שתבעל לו דרך נישואין [והלכך בין שתבעל דרך נשואין] בין שלא בנשואין נתקיים התנאי והרי זו מגורשת.</w:t>
      </w:r>
    </w:p>
    <w:p w:rsidR="00DC00F3" w:rsidRDefault="00DC00F3" w:rsidP="00DC00F3">
      <w:pPr>
        <w:bidi/>
        <w:rPr>
          <w:color w:val="000000"/>
          <w:rtl/>
        </w:rPr>
      </w:pPr>
    </w:p>
    <w:p w:rsidR="00DC00F3" w:rsidRDefault="00DC00F3" w:rsidP="00DC00F3">
      <w:pPr>
        <w:autoSpaceDE w:val="0"/>
        <w:autoSpaceDN w:val="0"/>
        <w:bidi/>
        <w:adjustRightInd w:val="0"/>
      </w:pPr>
      <w:r>
        <w:rPr>
          <w:b/>
          <w:bCs/>
          <w:color w:val="000000"/>
          <w:sz w:val="20"/>
          <w:szCs w:val="20"/>
          <w:u w:val="single"/>
          <w:rtl/>
        </w:rPr>
        <w:t>טור אבן העזר הלכות גיטין סימן קמג</w:t>
      </w:r>
      <w:r>
        <w:t xml:space="preserve"> </w:t>
      </w:r>
    </w:p>
    <w:p w:rsidR="00DC00F3" w:rsidRDefault="00DC00F3" w:rsidP="00DC00F3">
      <w:pPr>
        <w:bidi/>
        <w:rPr>
          <w:color w:val="000000"/>
          <w:rtl/>
        </w:rPr>
      </w:pPr>
      <w:r>
        <w:rPr>
          <w:color w:val="000000"/>
          <w:rtl/>
        </w:rPr>
        <w:t>ע"מ שתבעלי לפלוני נתקיים התנאי שנבעלה לו בין בזנות בין בנישואין ה"ז גט ובירושלמי קאמר לכתחילה לא תבעל לו דהא אינה מגורשת עד שתבעל לו נמצא תחילת ביאה באיסור שעודה א"א והרשב"א כתב כיון דקי"ל האומר ע"מ כאומר מעכשיו דמי א"כ כשבועל פנויה היא דלכשיתקיים הגט פנויה היא למפרע</w:t>
      </w:r>
    </w:p>
    <w:p w:rsidR="00DC00F3" w:rsidRDefault="00DC00F3" w:rsidP="00DC00F3">
      <w:pPr>
        <w:bidi/>
        <w:rPr>
          <w:color w:val="000000"/>
          <w:rtl/>
        </w:rPr>
      </w:pPr>
    </w:p>
    <w:p w:rsidR="00DC00F3" w:rsidRDefault="00DC00F3" w:rsidP="00DC00F3">
      <w:pPr>
        <w:autoSpaceDE w:val="0"/>
        <w:autoSpaceDN w:val="0"/>
        <w:bidi/>
        <w:adjustRightInd w:val="0"/>
      </w:pPr>
      <w:r>
        <w:rPr>
          <w:b/>
          <w:bCs/>
          <w:color w:val="000000"/>
          <w:sz w:val="20"/>
          <w:szCs w:val="20"/>
          <w:u w:val="single"/>
          <w:rtl/>
        </w:rPr>
        <w:t>בית יוסף אבן העזר סימן קמג</w:t>
      </w:r>
      <w:r>
        <w:t xml:space="preserve"> </w:t>
      </w:r>
    </w:p>
    <w:p w:rsidR="00DC00F3" w:rsidRDefault="00DC00F3" w:rsidP="00DC00F3">
      <w:pPr>
        <w:autoSpaceDE w:val="0"/>
        <w:autoSpaceDN w:val="0"/>
        <w:bidi/>
        <w:adjustRightInd w:val="0"/>
        <w:rPr>
          <w:color w:val="000000"/>
          <w:rtl/>
        </w:rPr>
      </w:pPr>
      <w:r>
        <w:rPr>
          <w:color w:val="000000"/>
          <w:rtl/>
        </w:rPr>
        <w:t>יח על מנת שתבעלי לפלוני וכו'. גם זה שם ברייתא בריש המגרש (פד.) הרי זה גיטך על מנת שתבעלי לפלוני נתקיים התנאי הרי זה גט ואם לאו אינו גט:</w:t>
      </w:r>
    </w:p>
    <w:p w:rsidR="00DC00F3" w:rsidRDefault="00DC00F3" w:rsidP="00DC00F3">
      <w:pPr>
        <w:autoSpaceDE w:val="0"/>
        <w:autoSpaceDN w:val="0"/>
        <w:bidi/>
        <w:adjustRightInd w:val="0"/>
        <w:rPr>
          <w:color w:val="000000"/>
          <w:rtl/>
        </w:rPr>
      </w:pPr>
      <w:r>
        <w:rPr>
          <w:color w:val="000000"/>
          <w:rtl/>
        </w:rPr>
        <w:t>ומה שכתב נתקיים התנאי שנבעלה לו בין בזנות בין בנישואין הרי זה גט. כן כתב הרשב"א בריש המגרש (שם ד"ה הא דקתני):</w:t>
      </w:r>
    </w:p>
    <w:p w:rsidR="00DC00F3" w:rsidRDefault="00DC00F3" w:rsidP="00DC00F3">
      <w:pPr>
        <w:autoSpaceDE w:val="0"/>
        <w:autoSpaceDN w:val="0"/>
        <w:bidi/>
        <w:adjustRightInd w:val="0"/>
        <w:rPr>
          <w:color w:val="000000"/>
          <w:rtl/>
        </w:rPr>
      </w:pPr>
      <w:r>
        <w:rPr>
          <w:color w:val="000000"/>
          <w:rtl/>
        </w:rPr>
        <w:t>והרשב"א כתב כיון דקיי"ל (גיטין עד.) האומר על מנת כאומר מעכשיו דמי וכו'. תמיהני על רבינו שכתב דפשיטא ליה להרשב"א דמותר שהרי הרשב"א בריש המגרש (פד. ד"ה על מנת שתבעלי) בדרך שמא קאמר לה והניח הדבר בצריך עיון:</w:t>
      </w:r>
    </w:p>
    <w:p w:rsidR="00DC00F3" w:rsidRDefault="00DC00F3" w:rsidP="00DC00F3">
      <w:pPr>
        <w:autoSpaceDE w:val="0"/>
        <w:autoSpaceDN w:val="0"/>
        <w:bidi/>
        <w:adjustRightInd w:val="0"/>
        <w:rPr>
          <w:b/>
          <w:bCs/>
          <w:color w:val="000000"/>
          <w:sz w:val="20"/>
          <w:szCs w:val="20"/>
          <w:u w:val="single"/>
          <w:rtl/>
        </w:rPr>
      </w:pPr>
    </w:p>
    <w:p w:rsidR="00DC00F3" w:rsidRDefault="00DC00F3" w:rsidP="00DC00F3">
      <w:pPr>
        <w:autoSpaceDE w:val="0"/>
        <w:autoSpaceDN w:val="0"/>
        <w:bidi/>
        <w:adjustRightInd w:val="0"/>
      </w:pPr>
      <w:r>
        <w:rPr>
          <w:b/>
          <w:bCs/>
          <w:color w:val="000000"/>
          <w:sz w:val="20"/>
          <w:szCs w:val="20"/>
          <w:u w:val="single"/>
          <w:rtl/>
        </w:rPr>
        <w:t>שולחן ערוך אבן העזר הלכות גיטין סימן קמג סעיף יח</w:t>
      </w:r>
      <w:r>
        <w:t xml:space="preserve"> </w:t>
      </w:r>
    </w:p>
    <w:p w:rsidR="00DC00F3" w:rsidRDefault="00DC00F3" w:rsidP="00DC00F3">
      <w:pPr>
        <w:bidi/>
        <w:rPr>
          <w:color w:val="000000"/>
          <w:rtl/>
        </w:rPr>
      </w:pPr>
      <w:r>
        <w:rPr>
          <w:color w:val="000000"/>
          <w:rtl/>
        </w:rPr>
        <w:t>אמר לה: ע"מ שתבעלי לפלוני, נתקיים התנאי שנבעלה לו, בין בזנות בין בנשואין, הרי זה גט. ולכתחלה לא תבעל לו, דהא אינה מגורשת עד שתבעל לו, נמצאת תחלת ביאה באיסור.</w:t>
      </w:r>
    </w:p>
    <w:p w:rsidR="00DC00F3" w:rsidRDefault="00DC00F3" w:rsidP="00DC00F3">
      <w:pPr>
        <w:bidi/>
        <w:rPr>
          <w:color w:val="000000"/>
          <w:rtl/>
        </w:rPr>
      </w:pPr>
    </w:p>
    <w:p w:rsidR="00DC00F3" w:rsidRDefault="00DC00F3" w:rsidP="00DC00F3">
      <w:pPr>
        <w:autoSpaceDE w:val="0"/>
        <w:autoSpaceDN w:val="0"/>
        <w:bidi/>
        <w:adjustRightInd w:val="0"/>
      </w:pPr>
      <w:r>
        <w:rPr>
          <w:b/>
          <w:bCs/>
          <w:color w:val="000000"/>
          <w:sz w:val="20"/>
          <w:szCs w:val="20"/>
          <w:u w:val="single"/>
          <w:rtl/>
        </w:rPr>
        <w:t>תורת גיטין באורים סימן קמג ס"ק כג</w:t>
      </w:r>
      <w:r>
        <w:t xml:space="preserve"> </w:t>
      </w:r>
    </w:p>
    <w:p w:rsidR="00DC00F3" w:rsidRDefault="00DC00F3" w:rsidP="00DC00F3">
      <w:pPr>
        <w:bidi/>
        <w:rPr>
          <w:color w:val="000000"/>
          <w:rtl/>
        </w:rPr>
      </w:pPr>
      <w:r>
        <w:rPr>
          <w:color w:val="000000"/>
          <w:rtl/>
        </w:rPr>
        <w:t>[כג]</w:t>
      </w:r>
      <w:r>
        <w:rPr>
          <w:color w:val="000000"/>
          <w:sz w:val="28"/>
          <w:szCs w:val="28"/>
          <w:rtl/>
        </w:rPr>
        <w:t xml:space="preserve"> ולכתחלה לא תבעל לו</w:t>
      </w:r>
      <w:r>
        <w:rPr>
          <w:color w:val="000000"/>
          <w:rtl/>
        </w:rPr>
        <w:t>. הטעם פשוט דבתנאי שהוא קום ועשה אסורה לכתחלה להינשא כמבואר בסעיף ב' וע"מ שתבעלי לו היינו גמר ביאה וא"כ אסורה בתחלת ביאה משום שמא לא יגמור ביאתו:</w:t>
      </w:r>
    </w:p>
    <w:p w:rsidR="00DC00F3" w:rsidRDefault="00DC00F3" w:rsidP="00DC00F3">
      <w:pPr>
        <w:bidi/>
        <w:rPr>
          <w:color w:val="000000"/>
          <w:rtl/>
        </w:rPr>
      </w:pPr>
    </w:p>
    <w:p w:rsidR="00DC00F3" w:rsidRDefault="00DC00F3" w:rsidP="00DC00F3">
      <w:pPr>
        <w:autoSpaceDE w:val="0"/>
        <w:autoSpaceDN w:val="0"/>
        <w:bidi/>
        <w:adjustRightInd w:val="0"/>
      </w:pPr>
      <w:r>
        <w:rPr>
          <w:b/>
          <w:bCs/>
          <w:color w:val="000000"/>
          <w:sz w:val="20"/>
          <w:szCs w:val="20"/>
          <w:u w:val="single"/>
          <w:rtl/>
        </w:rPr>
        <w:t>חדושי הרשב"א מסכת גיטין ד</w:t>
      </w:r>
      <w:bookmarkStart w:id="0" w:name="_GoBack"/>
      <w:bookmarkEnd w:id="0"/>
      <w:r>
        <w:rPr>
          <w:b/>
          <w:bCs/>
          <w:color w:val="000000"/>
          <w:sz w:val="20"/>
          <w:szCs w:val="20"/>
          <w:u w:val="single"/>
          <w:rtl/>
        </w:rPr>
        <w:t>ף פד עמוד א</w:t>
      </w:r>
      <w:r>
        <w:t xml:space="preserve"> </w:t>
      </w:r>
    </w:p>
    <w:p w:rsidR="00DC00F3" w:rsidRPr="009955E7" w:rsidRDefault="00DC00F3" w:rsidP="009955E7">
      <w:pPr>
        <w:autoSpaceDE w:val="0"/>
        <w:autoSpaceDN w:val="0"/>
        <w:bidi/>
        <w:adjustRightInd w:val="0"/>
        <w:rPr>
          <w:color w:val="000000"/>
          <w:rtl/>
        </w:rPr>
      </w:pPr>
      <w:r w:rsidRPr="008E6264">
        <w:rPr>
          <w:color w:val="000000"/>
          <w:rtl/>
        </w:rPr>
        <w:t>על</w:t>
      </w:r>
      <w:r>
        <w:rPr>
          <w:color w:val="000000"/>
          <w:rtl/>
        </w:rPr>
        <w:t xml:space="preserve"> מנת שלא תבעלי לאבא ולאביך אין חוששין שמא נבעלה להן. כלומר שמא תבעל להן כך פירש"י ז"ל ובעלי התוספות ז"ל, והרמב"ן נ"ר יישב הלשון מדלא קאמר אין חוששין שמא תבעל פי' הלשון כפשוטו על מנת שתבעלי לפלוני נתקיים התנאי כלומר אם יש עדים שראוה שנבעלה הרי זה גט, ואם לאו אף על פי שנתיחדה עמו אינו גט דלא אמרינן בכי הא הן הן עידי יחוד הן הן עידי ביאה, על מנת שלא תבעלי לאבא ולאביך אף על פי שנתיחדה עמהן אין חוששין שמא נבעלה להן עד שנדע בבירור שעברה על תנאה ואפי' בא הבעל וערער וטען בריא שנבעלה להן אין חוששין לו, והוא הדין לכל תנאי שבשב ואל תעשה אין חוששין שבטלה תנאה בידים עד שיתברר ביטולו בעדים, ואינו דומה לעל מנת שאעבור מנגד פניך שלשים יום דאמרינן לעיל (ע"ו ב') דחוששין שמא פייס עד שיאמר לה תהא נאמנת לומר שלא פייסתי, ואי נמי באם לא באתי שהדבר תלוי בידו ומעיקרא מגלה הוא בדעתו שחפץ לבטל תנאו כדי לבטל הגט, אבל כאן שהדבר תלוי בידה אינו מצוי שתקלקל עצמה והילכך מסתמא לא חיישינן לה ואפילו בא הבעל וערער, והא דנקט הכא לאבא ולאביך הוא הדין לעל מנת שלא תבעלי לפלוני אלא לאשמועינן דע"מ שתבעלי לאבא ולאביך אינו אלא כמפליגה בדברים. וגם זה שלא כפירושו של רש"י ז"ל שפי' דדוקא אבא ואביך אבל פלוני חוששין שמא תבעל לו והוה ליה כע"מ שלא תלכי לבית אביך לעולם דחוששין שמא תלך, ואינו מחוור דע"מ שלא תבעלי לפלוני הו"ל כעל מנת שלא תשתי יין כל ימי חיי פלוני דהכא והכא בתנאה קיימא כל ימי חיי אותו פלוני ומשעה שמת נתקיים תנאה הכא והכא, ועוד דמה הפרש יש בין אבא ואביך ובין פלוני דאי משום דבאבא ואביך איכא איסורא באחר נמי הא איכא איסורא דכל שנבעלה לו הגט בטל ובתנאה קיימא ונמצא בא על אשת איש, ומיהו בהא איכא למימר דבאחר איכא למיחש שמא תבעל לו אחר מיתת המגרש דאיהו לאו איסורא קא עביד הילכך חוששין שמא תבעל לו אבל באבא ואביך דבכל שעתא באיסורא קיימא להו לא חיישינן שמא תבעל להן, וכן פירשו בתוס' דבהכי איכא לאיפלוגי בין פלוני לאבא ואביך.</w:t>
      </w:r>
    </w:p>
    <w:sectPr w:rsidR="00DC00F3" w:rsidRPr="00995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F3"/>
    <w:rsid w:val="00786474"/>
    <w:rsid w:val="008D095B"/>
    <w:rsid w:val="008E6264"/>
    <w:rsid w:val="009955E7"/>
    <w:rsid w:val="00D45B2A"/>
    <w:rsid w:val="00DC00F3"/>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2022-11-27T23:57:00Z</dcterms:created>
  <dcterms:modified xsi:type="dcterms:W3CDTF">2022-11-28T00:23:00Z</dcterms:modified>
</cp:coreProperties>
</file>