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33" w:rsidRPr="002A27AA" w:rsidRDefault="001F2233" w:rsidP="00C74A66">
      <w:pPr>
        <w:bidi/>
        <w:rPr>
          <w:rFonts w:hint="cs"/>
          <w:u w:val="single"/>
          <w:rtl/>
        </w:rPr>
      </w:pPr>
      <w:r w:rsidRPr="002A27AA">
        <w:rPr>
          <w:rFonts w:hint="cs"/>
          <w:u w:val="single"/>
          <w:rtl/>
        </w:rPr>
        <w:t>בענין הרי את מותרת לכל אדם חוץ מאבא</w:t>
      </w:r>
    </w:p>
    <w:p w:rsidR="008D095B" w:rsidRDefault="00C74A66" w:rsidP="001F2233">
      <w:pPr>
        <w:bidi/>
        <w:rPr>
          <w:rFonts w:hint="cs"/>
          <w:rtl/>
        </w:rPr>
      </w:pPr>
      <w:r w:rsidRPr="001F2233">
        <w:rPr>
          <w:rFonts w:hint="cs"/>
          <w:rtl/>
        </w:rPr>
        <w:t>משנה גיטין פה. (הרי את מותרת)</w:t>
      </w:r>
    </w:p>
    <w:p w:rsidR="001F2233" w:rsidRPr="001F2233" w:rsidRDefault="001F2233" w:rsidP="001F2233">
      <w:pPr>
        <w:bidi/>
        <w:rPr>
          <w:rFonts w:hint="cs"/>
          <w:rtl/>
        </w:rPr>
      </w:pPr>
      <w:r>
        <w:rPr>
          <w:rFonts w:hint="cs"/>
          <w:rtl/>
        </w:rPr>
        <w:t>חידושי הרמב"ן שם ד"ה הק דקתני</w:t>
      </w:r>
    </w:p>
    <w:p w:rsidR="00C74A66" w:rsidRPr="001F2233" w:rsidRDefault="00C74A66" w:rsidP="00C74A66">
      <w:pPr>
        <w:bidi/>
        <w:rPr>
          <w:rFonts w:hint="cs"/>
          <w:rtl/>
        </w:rPr>
      </w:pPr>
      <w:r w:rsidRPr="001F2233">
        <w:rPr>
          <w:rFonts w:hint="cs"/>
          <w:rtl/>
        </w:rPr>
        <w:t>גמ' שם ... הכא נמי אתיא לכלל הוייה</w:t>
      </w:r>
    </w:p>
    <w:p w:rsidR="00C74A66" w:rsidRDefault="001F2233" w:rsidP="001F2233">
      <w:pPr>
        <w:bidi/>
        <w:rPr>
          <w:rFonts w:hint="cs"/>
          <w:rtl/>
        </w:rPr>
      </w:pPr>
      <w:r>
        <w:rPr>
          <w:rFonts w:hint="cs"/>
          <w:rtl/>
        </w:rPr>
        <w:t>חידושי הרשב"א אם ד"ה בעא מיניה רב</w:t>
      </w:r>
      <w:bookmarkStart w:id="0" w:name="_GoBack"/>
      <w:bookmarkEnd w:id="0"/>
      <w:r>
        <w:rPr>
          <w:rFonts w:hint="cs"/>
          <w:rtl/>
        </w:rPr>
        <w:t>א</w:t>
      </w:r>
    </w:p>
    <w:p w:rsidR="001F2233" w:rsidRDefault="001F2233" w:rsidP="001F2233">
      <w:pPr>
        <w:bidi/>
        <w:rPr>
          <w:rFonts w:hint="cs"/>
          <w:rtl/>
        </w:rPr>
      </w:pPr>
      <w:r>
        <w:rPr>
          <w:rFonts w:hint="cs"/>
          <w:rtl/>
        </w:rPr>
        <w:t>תוספות שם ד"ה תניתוה</w:t>
      </w:r>
    </w:p>
    <w:p w:rsidR="001F2233" w:rsidRDefault="001F2233" w:rsidP="001F2233">
      <w:pPr>
        <w:bidi/>
        <w:rPr>
          <w:rFonts w:hint="cs"/>
          <w:rtl/>
        </w:rPr>
      </w:pPr>
      <w:r>
        <w:rPr>
          <w:rFonts w:hint="cs"/>
          <w:rtl/>
        </w:rPr>
        <w:t>גמ' שם חוץ מן הנולדים ... משנה</w:t>
      </w:r>
    </w:p>
    <w:p w:rsidR="001F2233" w:rsidRDefault="001F2233" w:rsidP="001F2233">
      <w:pPr>
        <w:bidi/>
        <w:rPr>
          <w:rFonts w:hint="cs"/>
          <w:rtl/>
        </w:rPr>
      </w:pPr>
      <w:r>
        <w:rPr>
          <w:rFonts w:hint="cs"/>
          <w:rtl/>
        </w:rPr>
        <w:t>תוספות ד"ה חוץ</w:t>
      </w:r>
    </w:p>
    <w:p w:rsidR="002A27AA" w:rsidRPr="001F2233" w:rsidRDefault="002A27AA" w:rsidP="002A27AA">
      <w:pPr>
        <w:bidi/>
        <w:rPr>
          <w:rFonts w:hint="cs"/>
          <w:rtl/>
        </w:rPr>
      </w:pPr>
      <w:r>
        <w:rPr>
          <w:rFonts w:hint="cs"/>
          <w:rtl/>
        </w:rPr>
        <w:t>שו"ע אבה"ע סימן קלז סעיף ג, ב"ש שם סק"ה, תורת גיטין שם</w:t>
      </w:r>
    </w:p>
    <w:p w:rsidR="001F2233" w:rsidRPr="001F2233" w:rsidRDefault="001F2233" w:rsidP="001F2233">
      <w:pPr>
        <w:bidi/>
        <w:rPr>
          <w:rFonts w:hint="cs"/>
          <w:rtl/>
        </w:rPr>
      </w:pPr>
    </w:p>
    <w:p w:rsidR="001F2233" w:rsidRPr="001F2233" w:rsidRDefault="001F2233" w:rsidP="001F2233">
      <w:pPr>
        <w:autoSpaceDE w:val="0"/>
        <w:autoSpaceDN w:val="0"/>
        <w:bidi/>
        <w:adjustRightInd w:val="0"/>
      </w:pPr>
      <w:r w:rsidRPr="001F2233">
        <w:rPr>
          <w:b/>
          <w:bCs/>
          <w:u w:val="single"/>
          <w:rtl/>
        </w:rPr>
        <w:t xml:space="preserve">חדושי הרמב"ן גיטין </w:t>
      </w:r>
      <w:r>
        <w:rPr>
          <w:rFonts w:hint="cs"/>
          <w:b/>
          <w:bCs/>
          <w:u w:val="single"/>
          <w:rtl/>
        </w:rPr>
        <w:t>פה.</w:t>
      </w:r>
    </w:p>
    <w:p w:rsidR="001F2233" w:rsidRPr="001F2233" w:rsidRDefault="001F2233" w:rsidP="001F2233">
      <w:pPr>
        <w:autoSpaceDE w:val="0"/>
        <w:autoSpaceDN w:val="0"/>
        <w:bidi/>
        <w:adjustRightInd w:val="0"/>
        <w:rPr>
          <w:rtl/>
        </w:rPr>
      </w:pPr>
      <w:r w:rsidRPr="001F2233">
        <w:rPr>
          <w:rtl/>
        </w:rPr>
        <w:t>הא דקתני מתני' הרי את מותרת לכל אדם אלא אלמנה לכ"ג גרושה וחלוצה לכהן הדיוט, סרכא נקט דבכולה תלמודא קתני הכי אבל הכא משום גירושין הללו עצמן היא נאסרת על כהן והו"ל למיתני אלא לכ"ג או לכהן הדיוט, א"נ רבותא היא דאפי' נאסרה בגירושין גמורים או שהיתה אלמנה לא הוי שיור.</w:t>
      </w:r>
    </w:p>
    <w:p w:rsidR="001F2233" w:rsidRPr="001F2233" w:rsidRDefault="001F2233" w:rsidP="001F2233">
      <w:pPr>
        <w:autoSpaceDE w:val="0"/>
        <w:autoSpaceDN w:val="0"/>
        <w:bidi/>
        <w:adjustRightInd w:val="0"/>
        <w:rPr>
          <w:rtl/>
        </w:rPr>
      </w:pPr>
    </w:p>
    <w:p w:rsidR="001F2233" w:rsidRPr="001F2233" w:rsidRDefault="001F2233" w:rsidP="001F2233">
      <w:pPr>
        <w:autoSpaceDE w:val="0"/>
        <w:autoSpaceDN w:val="0"/>
        <w:bidi/>
        <w:adjustRightInd w:val="0"/>
      </w:pPr>
      <w:r w:rsidRPr="001F2233">
        <w:rPr>
          <w:b/>
          <w:bCs/>
          <w:u w:val="single"/>
          <w:rtl/>
        </w:rPr>
        <w:t xml:space="preserve">חדושי הרשב"א </w:t>
      </w:r>
      <w:r>
        <w:rPr>
          <w:rFonts w:hint="cs"/>
          <w:b/>
          <w:bCs/>
          <w:u w:val="single"/>
          <w:rtl/>
        </w:rPr>
        <w:t>שם</w:t>
      </w:r>
    </w:p>
    <w:p w:rsidR="001F2233" w:rsidRPr="001F2233" w:rsidRDefault="001F2233" w:rsidP="001F2233">
      <w:pPr>
        <w:autoSpaceDE w:val="0"/>
        <w:autoSpaceDN w:val="0"/>
        <w:bidi/>
        <w:adjustRightInd w:val="0"/>
        <w:rPr>
          <w:rtl/>
        </w:rPr>
      </w:pPr>
      <w:r w:rsidRPr="001F2233">
        <w:rPr>
          <w:rtl/>
        </w:rPr>
        <w:t>גמ' בעא מיניה רבא מר"נ חוץ מקדושי קטן מהו השתא מיהא לאו בר הויה הוא וכו' א"ל תניתוה מתגרשת בקדושי אביה אמאי והא בעי' ויצאה והיתה אלא אתיא לכלל הויה הכי נמי אתיא לכלל הויה, כך היא גרסת הספרים ולפי גרסא זו איפשיטא לה בעיין וחוץ מקדושי קטן ה"ז גט פסול ובמקום יבם הרי זו מתיבמת וכן כתב הרמב"ם ז"ל, ואינו דומה לחוץ מן הנולדים דלא איפשיטא דהתם מחוסר לידה וגופא ליתא בעולם כלל אבל הכא גופא מיהא איתיה בעולם, ועוד דנולדים מחוסרין שתים לידה וגדלות, אבל ר"ח ז"ל נראה דלא גריס בהא תניתוה דהאי נמי סלקא בתיקו וחוץ מקידושי קטן וחוץ מן הנולדים וחוץ מבעל אחותיך בכולן הויא ספק מגורשת.</w:t>
      </w:r>
    </w:p>
    <w:p w:rsidR="001F2233" w:rsidRDefault="001F2233" w:rsidP="001F2233">
      <w:pPr>
        <w:autoSpaceDE w:val="0"/>
        <w:autoSpaceDN w:val="0"/>
        <w:bidi/>
        <w:adjustRightInd w:val="0"/>
        <w:rPr>
          <w:rFonts w:hint="cs"/>
          <w:rtl/>
        </w:rPr>
      </w:pPr>
    </w:p>
    <w:p w:rsidR="001F2233" w:rsidRPr="001F2233" w:rsidRDefault="001F2233" w:rsidP="001F2233">
      <w:pPr>
        <w:autoSpaceDE w:val="0"/>
        <w:autoSpaceDN w:val="0"/>
        <w:bidi/>
        <w:adjustRightInd w:val="0"/>
        <w:rPr>
          <w:rtl/>
        </w:rPr>
      </w:pPr>
      <w:r w:rsidRPr="001F2233">
        <w:rPr>
          <w:rtl/>
        </w:rPr>
        <w:t>גירות לא שכיחא מיתה שכיחא. פי' שכיחא טפי מגירות.</w:t>
      </w:r>
    </w:p>
    <w:p w:rsidR="001F2233" w:rsidRDefault="001F2233" w:rsidP="001F2233">
      <w:pPr>
        <w:bidi/>
      </w:pPr>
    </w:p>
    <w:p w:rsidR="001F2233" w:rsidRDefault="001F2233" w:rsidP="001F2233">
      <w:pPr>
        <w:bidi/>
      </w:pPr>
    </w:p>
    <w:p w:rsidR="001F2233" w:rsidRDefault="001F2233" w:rsidP="001F2233">
      <w:r>
        <w:t xml:space="preserve">1) How might one understand </w:t>
      </w:r>
      <w:proofErr w:type="spellStart"/>
      <w:r>
        <w:t>Rabbeinu</w:t>
      </w:r>
      <w:proofErr w:type="spellEnd"/>
      <w:r>
        <w:t xml:space="preserve"> </w:t>
      </w:r>
      <w:proofErr w:type="spellStart"/>
      <w:r>
        <w:t>Chananel’s</w:t>
      </w:r>
      <w:proofErr w:type="spellEnd"/>
      <w:r>
        <w:t xml:space="preserve"> </w:t>
      </w:r>
      <w:proofErr w:type="spellStart"/>
      <w:r>
        <w:t>postion</w:t>
      </w:r>
      <w:proofErr w:type="spellEnd"/>
      <w:r>
        <w:t>?</w:t>
      </w:r>
    </w:p>
    <w:p w:rsidR="001F2233" w:rsidRDefault="001F2233" w:rsidP="001F2233">
      <w:r>
        <w:t xml:space="preserve">2) What is the conceptual sequence of </w:t>
      </w:r>
      <w:r>
        <w:rPr>
          <w:rFonts w:hint="cs"/>
          <w:rtl/>
        </w:rPr>
        <w:t>איבעיות</w:t>
      </w:r>
      <w:r>
        <w:t xml:space="preserve"> in the </w:t>
      </w:r>
      <w:proofErr w:type="spellStart"/>
      <w:proofErr w:type="gramStart"/>
      <w:r>
        <w:t>gemara</w:t>
      </w:r>
      <w:proofErr w:type="spellEnd"/>
      <w:proofErr w:type="gramEnd"/>
      <w:r>
        <w:t>?</w:t>
      </w:r>
    </w:p>
    <w:p w:rsidR="001F2233" w:rsidRDefault="002A27AA" w:rsidP="001F2233">
      <w:r>
        <w:t xml:space="preserve">3) What is the </w:t>
      </w:r>
      <w:r>
        <w:rPr>
          <w:rFonts w:hint="cs"/>
          <w:rtl/>
        </w:rPr>
        <w:t>הלכה</w:t>
      </w:r>
      <w:r>
        <w:t xml:space="preserve"> if one was </w:t>
      </w:r>
      <w:r>
        <w:rPr>
          <w:rFonts w:hint="cs"/>
          <w:rtl/>
        </w:rPr>
        <w:t>משייר בזנות</w:t>
      </w:r>
      <w:r>
        <w:t xml:space="preserve"> with respect to </w:t>
      </w:r>
      <w:r>
        <w:rPr>
          <w:rFonts w:hint="cs"/>
          <w:rtl/>
        </w:rPr>
        <w:t>אבא ואביך</w:t>
      </w:r>
      <w:r>
        <w:t>?</w:t>
      </w:r>
    </w:p>
    <w:p w:rsidR="002A27AA" w:rsidRDefault="002A27AA" w:rsidP="002A27AA">
      <w:pPr>
        <w:bidi/>
        <w:rPr>
          <w:rFonts w:hint="cs"/>
          <w:color w:val="000000"/>
          <w:rtl/>
        </w:rPr>
      </w:pPr>
    </w:p>
    <w:p w:rsidR="002A27AA" w:rsidRPr="002A27AA" w:rsidRDefault="002A27AA" w:rsidP="002A27AA">
      <w:pPr>
        <w:autoSpaceDE w:val="0"/>
        <w:autoSpaceDN w:val="0"/>
        <w:bidi/>
        <w:adjustRightInd w:val="0"/>
        <w:rPr>
          <w:sz w:val="22"/>
          <w:szCs w:val="22"/>
        </w:rPr>
      </w:pPr>
      <w:r w:rsidRPr="002A27AA">
        <w:rPr>
          <w:b/>
          <w:bCs/>
          <w:color w:val="000000"/>
          <w:sz w:val="22"/>
          <w:szCs w:val="22"/>
          <w:u w:val="single"/>
          <w:rtl/>
        </w:rPr>
        <w:t>שולחן ערוך אבן העזר הלכות גיטין סימן קלז סעיף ג</w:t>
      </w:r>
      <w:r w:rsidRPr="002A27AA">
        <w:rPr>
          <w:sz w:val="22"/>
          <w:szCs w:val="22"/>
        </w:rPr>
        <w:t xml:space="preserve"> </w:t>
      </w:r>
    </w:p>
    <w:p w:rsidR="002A27AA" w:rsidRPr="002A27AA" w:rsidRDefault="002A27AA" w:rsidP="002A27AA">
      <w:pPr>
        <w:bidi/>
        <w:rPr>
          <w:rFonts w:hint="cs"/>
          <w:color w:val="000000"/>
          <w:sz w:val="22"/>
          <w:szCs w:val="22"/>
          <w:rtl/>
        </w:rPr>
      </w:pPr>
      <w:r w:rsidRPr="002A27AA">
        <w:rPr>
          <w:color w:val="000000"/>
          <w:sz w:val="22"/>
          <w:szCs w:val="22"/>
          <w:rtl/>
        </w:rPr>
        <w:t>שייר בעל אחותה, או ששייר מי שעתיד עדיין להוליד, או שאמר לה: חוץ מזנותיך (או חוץ משלא כדרכה) (טור) או חוץ משטר וביאה או חוץ מהפרת נדריך או חוץ מירושתך, הרי זו ספק מגורשת.</w:t>
      </w:r>
    </w:p>
    <w:p w:rsidR="002A27AA" w:rsidRPr="002A27AA" w:rsidRDefault="002A27AA" w:rsidP="002A27AA">
      <w:pPr>
        <w:bidi/>
        <w:rPr>
          <w:rFonts w:hint="cs"/>
          <w:color w:val="000000"/>
          <w:sz w:val="22"/>
          <w:szCs w:val="22"/>
          <w:rtl/>
        </w:rPr>
      </w:pPr>
    </w:p>
    <w:p w:rsidR="002A27AA" w:rsidRPr="002A27AA" w:rsidRDefault="002A27AA" w:rsidP="002A27AA">
      <w:pPr>
        <w:autoSpaceDE w:val="0"/>
        <w:autoSpaceDN w:val="0"/>
        <w:bidi/>
        <w:adjustRightInd w:val="0"/>
        <w:rPr>
          <w:sz w:val="22"/>
          <w:szCs w:val="22"/>
        </w:rPr>
      </w:pPr>
      <w:r w:rsidRPr="002A27AA">
        <w:rPr>
          <w:b/>
          <w:bCs/>
          <w:color w:val="000000"/>
          <w:sz w:val="22"/>
          <w:szCs w:val="22"/>
          <w:u w:val="single"/>
          <w:rtl/>
        </w:rPr>
        <w:t>בית שמואל סימן קלז ס"ק ה</w:t>
      </w:r>
      <w:r w:rsidRPr="002A27AA">
        <w:rPr>
          <w:sz w:val="22"/>
          <w:szCs w:val="22"/>
        </w:rPr>
        <w:t xml:space="preserve"> </w:t>
      </w:r>
    </w:p>
    <w:p w:rsidR="002A27AA" w:rsidRPr="002A27AA" w:rsidRDefault="002A27AA" w:rsidP="002A27AA">
      <w:pPr>
        <w:autoSpaceDE w:val="0"/>
        <w:autoSpaceDN w:val="0"/>
        <w:bidi/>
        <w:adjustRightInd w:val="0"/>
        <w:rPr>
          <w:rFonts w:hint="cs"/>
          <w:color w:val="000000"/>
          <w:sz w:val="22"/>
          <w:szCs w:val="22"/>
          <w:rtl/>
        </w:rPr>
      </w:pPr>
      <w:r w:rsidRPr="002A27AA">
        <w:rPr>
          <w:color w:val="000000"/>
          <w:sz w:val="22"/>
          <w:szCs w:val="22"/>
          <w:rtl/>
        </w:rPr>
        <w:t xml:space="preserve">ה חוץ מזנותיך. כלומר בענין זנות הרי את כא"א אף על גב שהתיר אותה להנשא מ"מ כיון דשייר בביאה מבעי' בש"ס אי הוי שיור והיינו דווקא בכה"ג דהתיר להנשא ואסר בזנות אז הוי ספק אבל להפוך דהתיר בזנות ואסר להנשא כגון שאמר חוץ שלא תנשא לפלוני הוי שיור ואינו גט וכ"כ בדרישה, ואם אמר בלשון שלא תנשא לפלוני מבואר בש"ס דהתיר בזנות אא"כ שאמר שלא תבעל לפלו' אז אסורה לו אפילו בזנות, ונראה אם היה אותו פלוני מי שאין קידושין תופסין והתנה על זנות לא הוי שיור כמו בנישואין אף על גב נישואין לא שייך בו וזנות שייך בו וכן משמע להדיא בש"ס בס"ד תנינא זנות הוי שיור ומ"מ באבא לא הוי שיור ולהמסקנ' לא מצינו סתירה לזה: </w:t>
      </w:r>
    </w:p>
    <w:p w:rsidR="002A27AA" w:rsidRPr="002A27AA" w:rsidRDefault="002A27AA" w:rsidP="002A27AA">
      <w:pPr>
        <w:autoSpaceDE w:val="0"/>
        <w:autoSpaceDN w:val="0"/>
        <w:bidi/>
        <w:adjustRightInd w:val="0"/>
        <w:rPr>
          <w:rFonts w:hint="cs"/>
          <w:color w:val="000000"/>
          <w:sz w:val="22"/>
          <w:szCs w:val="22"/>
          <w:rtl/>
        </w:rPr>
      </w:pPr>
    </w:p>
    <w:p w:rsidR="002A27AA" w:rsidRPr="002A27AA" w:rsidRDefault="002A27AA" w:rsidP="002A27AA">
      <w:pPr>
        <w:autoSpaceDE w:val="0"/>
        <w:autoSpaceDN w:val="0"/>
        <w:bidi/>
        <w:adjustRightInd w:val="0"/>
        <w:rPr>
          <w:sz w:val="22"/>
          <w:szCs w:val="22"/>
        </w:rPr>
      </w:pPr>
      <w:r w:rsidRPr="002A27AA">
        <w:rPr>
          <w:b/>
          <w:bCs/>
          <w:color w:val="000000"/>
          <w:sz w:val="22"/>
          <w:szCs w:val="22"/>
          <w:u w:val="single"/>
          <w:rtl/>
        </w:rPr>
        <w:t>תורת גיטין באורים סימן קלז ס"ק ב</w:t>
      </w:r>
      <w:r w:rsidRPr="002A27AA">
        <w:rPr>
          <w:sz w:val="22"/>
          <w:szCs w:val="22"/>
        </w:rPr>
        <w:t xml:space="preserve"> </w:t>
      </w:r>
    </w:p>
    <w:p w:rsidR="002A27AA" w:rsidRPr="002A27AA" w:rsidRDefault="002A27AA" w:rsidP="002A27AA">
      <w:pPr>
        <w:autoSpaceDE w:val="0"/>
        <w:autoSpaceDN w:val="0"/>
        <w:bidi/>
        <w:adjustRightInd w:val="0"/>
        <w:rPr>
          <w:rFonts w:hint="cs"/>
          <w:color w:val="000000"/>
          <w:sz w:val="22"/>
          <w:szCs w:val="22"/>
          <w:rtl/>
        </w:rPr>
      </w:pPr>
      <w:r w:rsidRPr="002A27AA">
        <w:rPr>
          <w:color w:val="000000"/>
          <w:sz w:val="22"/>
          <w:szCs w:val="22"/>
          <w:rtl/>
        </w:rPr>
        <w:t>[ב] חוץ מזנותיך. עב"ש ס"ק ה' עד ומ"מ באבא לא הוי שיור וכו'. ולבבי לא כן ידמה דודאי באיבעי' הראשונה דבעי אי בעינן שיור דוקא מקידושין דאיש אחר, כיון דכתיב ויצאה והיתה לאיש אחר [דהיינו לכל איש ואיש לרבנן], בעינן דוקא שיור מהוי' דאיש אחר, או דאפילו כששייר מהיתר ביאה דאיש אחר ג"כ הוי שיור, דבכלל והיתה לאיש אחר משמע ג"כ היתר ביאה, וחוץ מזנותיך ג"כ הוי שיור. ומש"ה כשמשייר זנות דאבא ואביך לא הוי שיור כיון דבלא"ה אסורה להם ולא הוי שיור אפילו מהיתר מביאה דאיש אחר. משא"כ באיבעיות אחרונות דבעי אפילו בחוץ מירושתך וחוץ מהפרת נדריך דכיון שמשייר צד אישות אף שלא מענין ביאה הוי שיור, א"כ מכ"ש דזנות דאבא ואביך דהוי שיור מצד אישות, בלא שיור אינה חייב על זנות דידה רק משום אבא ואביך, וכשמשייר חייב ג"כ משום א"א, ואם התרו בה רק משום א"א חייב עליה רק משום א"א, דהא א"א איסור מוסיף הוא כמבואר ביבמות [לב ע"א] גבי חמותו ונעשית א"א. ואין לומר דהא כאן התירה לכל אדם חוץ מאבא ואביך ואין איסור א"א מוסיף בה לשום אדם ולאו איסור מוסיף הוא, זה אינו דהא מקודם היתה קיימא באיסור א"א על אבא ואביך משום איסור מוסיף ומש"ה אף אם גירשה אח"כ והתירה לכל אדם חוץ מאבא ואביך איסור א"א כדקיימא על אבא ואביך קיימא, ולא אזיל מיניה בשעת גירושין, דבשעת גירושין איסור א"א ואיסור אבא ואביך איסור בת אחת הוא ואין אחד נדחה מפני חבירו דאלת"ה א"כ גבי יש אוכל אכילה אחת וחייב חמשה חטאות בחלב מוקדשין וקאמר בש"ס [כריתות יד ע"א] דאקדשי' כיון דאיתוסף איסור על הבשר וכו'. וכי יעלה על הדעת דאחר שנאכל כל הבשר דשוב לא יתחייב על החלב משום מוקדשין, אלא ודאי כיון דחל פעם אחת איסור מוקדשין שוב לא פקע אף על גב דנתקלקל ההוספה משום דאיסור בת אחת הוא וכדכתיבנא וה"נ דכוותיה. וכיון דבהא דמתנה חוץ מזנות דאבא ואביך יש בו שיור ענין אישות ודאי דחשיב יותר שיור משיור דתרומה והפרת נדרים וירושה:</w:t>
      </w:r>
    </w:p>
    <w:sectPr w:rsidR="002A27AA" w:rsidRPr="002A27AA" w:rsidSect="002A27A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66"/>
    <w:rsid w:val="001F2233"/>
    <w:rsid w:val="002A27AA"/>
    <w:rsid w:val="00786474"/>
    <w:rsid w:val="008D095B"/>
    <w:rsid w:val="00C74A66"/>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2023-01-18T00:09:00Z</dcterms:created>
  <dcterms:modified xsi:type="dcterms:W3CDTF">2023-01-18T00:46:00Z</dcterms:modified>
</cp:coreProperties>
</file>