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57" w:rsidRPr="000A5869" w:rsidRDefault="00B76157" w:rsidP="00B76157">
      <w:pPr>
        <w:autoSpaceDE w:val="0"/>
        <w:autoSpaceDN w:val="0"/>
        <w:bidi/>
        <w:adjustRightInd w:val="0"/>
        <w:rPr>
          <w:b/>
          <w:bCs/>
          <w:color w:val="000000"/>
          <w:u w:val="single"/>
          <w:rtl/>
        </w:rPr>
      </w:pPr>
      <w:r w:rsidRPr="000A5869">
        <w:rPr>
          <w:rFonts w:hint="cs"/>
          <w:b/>
          <w:bCs/>
          <w:color w:val="000000"/>
          <w:u w:val="single"/>
          <w:rtl/>
        </w:rPr>
        <w:t>בענין ידים שאינן מוכיחות</w:t>
      </w:r>
    </w:p>
    <w:p w:rsidR="00B76157" w:rsidRPr="000A5869" w:rsidRDefault="00B76157" w:rsidP="00B76157">
      <w:pPr>
        <w:autoSpaceDE w:val="0"/>
        <w:autoSpaceDN w:val="0"/>
        <w:bidi/>
        <w:adjustRightInd w:val="0"/>
        <w:rPr>
          <w:rtl/>
        </w:rPr>
      </w:pPr>
      <w:r w:rsidRPr="000A5869">
        <w:rPr>
          <w:rFonts w:hint="cs"/>
          <w:rtl/>
        </w:rPr>
        <w:t>משנה נדרים ב.</w:t>
      </w:r>
    </w:p>
    <w:p w:rsidR="00B76157" w:rsidRPr="000A5869" w:rsidRDefault="00B76157" w:rsidP="00B76157">
      <w:pPr>
        <w:autoSpaceDE w:val="0"/>
        <w:autoSpaceDN w:val="0"/>
        <w:bidi/>
        <w:adjustRightInd w:val="0"/>
        <w:rPr>
          <w:rtl/>
        </w:rPr>
      </w:pPr>
      <w:r w:rsidRPr="000A5869">
        <w:rPr>
          <w:rFonts w:hint="cs"/>
          <w:rtl/>
        </w:rPr>
        <w:t>גם שם ד: האומר ... מיתיבי, שם ה: אלא הכי איתמר ... ו. אבל בעלמא מי שמעת ליה</w:t>
      </w:r>
    </w:p>
    <w:p w:rsidR="00B76157" w:rsidRPr="000A5869" w:rsidRDefault="00B76157" w:rsidP="00B76157">
      <w:pPr>
        <w:autoSpaceDE w:val="0"/>
        <w:autoSpaceDN w:val="0"/>
        <w:bidi/>
        <w:adjustRightInd w:val="0"/>
        <w:rPr>
          <w:color w:val="000000"/>
          <w:rtl/>
        </w:rPr>
      </w:pPr>
      <w:r w:rsidRPr="000A5869">
        <w:rPr>
          <w:rFonts w:hint="cs"/>
          <w:color w:val="000000"/>
          <w:rtl/>
        </w:rPr>
        <w:t>משנה גיטין פה. (משנה שנייה)</w:t>
      </w:r>
    </w:p>
    <w:p w:rsidR="00B76157" w:rsidRPr="000A5869" w:rsidRDefault="00B76157" w:rsidP="00B76157">
      <w:pPr>
        <w:autoSpaceDE w:val="0"/>
        <w:autoSpaceDN w:val="0"/>
        <w:bidi/>
        <w:adjustRightInd w:val="0"/>
        <w:rPr>
          <w:color w:val="000000"/>
        </w:rPr>
      </w:pPr>
      <w:r w:rsidRPr="000A5869">
        <w:rPr>
          <w:rFonts w:hint="cs"/>
          <w:color w:val="000000"/>
          <w:rtl/>
        </w:rPr>
        <w:t>גמ' שם פה: ר' יהודה אומר ... ושטרא ראיה בעלמא</w:t>
      </w:r>
    </w:p>
    <w:p w:rsidR="00B76157" w:rsidRPr="000A5869" w:rsidRDefault="00B76157" w:rsidP="00B76157">
      <w:pPr>
        <w:autoSpaceDE w:val="0"/>
        <w:autoSpaceDN w:val="0"/>
        <w:bidi/>
        <w:adjustRightInd w:val="0"/>
        <w:rPr>
          <w:b/>
          <w:bCs/>
          <w:color w:val="000000"/>
          <w:u w:val="single"/>
          <w:rtl/>
        </w:rPr>
      </w:pPr>
    </w:p>
    <w:p w:rsidR="00B76157" w:rsidRPr="000A5869" w:rsidRDefault="00B76157" w:rsidP="00B76157">
      <w:pPr>
        <w:autoSpaceDE w:val="0"/>
        <w:autoSpaceDN w:val="0"/>
        <w:bidi/>
        <w:adjustRightInd w:val="0"/>
      </w:pPr>
      <w:r w:rsidRPr="000A5869">
        <w:rPr>
          <w:b/>
          <w:bCs/>
          <w:color w:val="000000"/>
          <w:u w:val="single"/>
          <w:rtl/>
        </w:rPr>
        <w:t xml:space="preserve">נדרים </w:t>
      </w:r>
      <w:r w:rsidRPr="000A5869">
        <w:rPr>
          <w:rFonts w:hint="cs"/>
          <w:b/>
          <w:bCs/>
          <w:color w:val="000000"/>
          <w:u w:val="single"/>
          <w:rtl/>
        </w:rPr>
        <w:t>ב.</w:t>
      </w:r>
    </w:p>
    <w:p w:rsidR="008D095B" w:rsidRPr="000A5869" w:rsidRDefault="00B76157" w:rsidP="00B76157">
      <w:pPr>
        <w:bidi/>
        <w:rPr>
          <w:color w:val="000000"/>
          <w:rtl/>
        </w:rPr>
      </w:pPr>
      <w:r w:rsidRPr="000A5869">
        <w:rPr>
          <w:color w:val="000000"/>
          <w:rtl/>
        </w:rPr>
        <w:t xml:space="preserve">/מתני'./ כל כינויי נדרים כנדרים, וחרמים </w:t>
      </w:r>
      <w:r w:rsidR="00E477C1" w:rsidRPr="000A5869">
        <w:rPr>
          <w:color w:val="000000"/>
          <w:rtl/>
        </w:rPr>
        <w:t>–</w:t>
      </w:r>
      <w:r w:rsidRPr="000A5869">
        <w:rPr>
          <w:color w:val="000000"/>
          <w:rtl/>
        </w:rPr>
        <w:t xml:space="preserve"> כחרמים, ושבועות </w:t>
      </w:r>
      <w:r w:rsidR="00E477C1" w:rsidRPr="000A5869">
        <w:rPr>
          <w:color w:val="000000"/>
          <w:rtl/>
        </w:rPr>
        <w:t>–</w:t>
      </w:r>
      <w:r w:rsidRPr="000A5869">
        <w:rPr>
          <w:color w:val="000000"/>
          <w:rtl/>
        </w:rPr>
        <w:t xml:space="preserve"> כשבועות, ונזירות </w:t>
      </w:r>
      <w:r w:rsidR="00E477C1" w:rsidRPr="000A5869">
        <w:rPr>
          <w:color w:val="000000"/>
          <w:rtl/>
        </w:rPr>
        <w:t>–</w:t>
      </w:r>
      <w:r w:rsidRPr="000A5869">
        <w:rPr>
          <w:color w:val="000000"/>
          <w:rtl/>
        </w:rPr>
        <w:t xml:space="preserve"> כנזירות. האומר לחברו מודרני ממך, מופרשני ממך, מרוחקני ממך, שאני אוכל לך, שאני טועם לך </w:t>
      </w:r>
      <w:r w:rsidR="00E477C1" w:rsidRPr="000A5869">
        <w:rPr>
          <w:color w:val="000000"/>
          <w:rtl/>
        </w:rPr>
        <w:t>–</w:t>
      </w:r>
      <w:r w:rsidRPr="000A5869">
        <w:rPr>
          <w:color w:val="000000"/>
          <w:rtl/>
        </w:rPr>
        <w:t xml:space="preserve"> אסור. מנודה אני לך </w:t>
      </w:r>
      <w:r w:rsidR="00E477C1" w:rsidRPr="000A5869">
        <w:rPr>
          <w:color w:val="000000"/>
          <w:rtl/>
        </w:rPr>
        <w:t>–</w:t>
      </w:r>
      <w:r w:rsidRPr="000A5869">
        <w:rPr>
          <w:color w:val="000000"/>
          <w:rtl/>
        </w:rPr>
        <w:t xml:space="preserve"> ר"ע היה חוכך בזה להחמיר.</w:t>
      </w:r>
    </w:p>
    <w:p w:rsidR="00B76157" w:rsidRPr="000A5869" w:rsidRDefault="00B76157" w:rsidP="00B76157">
      <w:pPr>
        <w:bidi/>
        <w:rPr>
          <w:color w:val="000000"/>
          <w:rtl/>
        </w:rPr>
      </w:pPr>
    </w:p>
    <w:p w:rsidR="00B76157" w:rsidRPr="000A5869" w:rsidRDefault="00B76157" w:rsidP="00B76157">
      <w:pPr>
        <w:autoSpaceDE w:val="0"/>
        <w:autoSpaceDN w:val="0"/>
        <w:bidi/>
        <w:adjustRightInd w:val="0"/>
      </w:pPr>
      <w:r w:rsidRPr="000A5869">
        <w:rPr>
          <w:rFonts w:hint="cs"/>
          <w:b/>
          <w:bCs/>
          <w:color w:val="000000"/>
          <w:u w:val="single"/>
          <w:rtl/>
        </w:rPr>
        <w:t>שם ד:-ו.</w:t>
      </w:r>
    </w:p>
    <w:p w:rsidR="00B76157" w:rsidRPr="000A5869" w:rsidRDefault="00B76157" w:rsidP="00B76157">
      <w:pPr>
        <w:bidi/>
        <w:rPr>
          <w:color w:val="000000"/>
          <w:rtl/>
        </w:rPr>
      </w:pPr>
      <w:r w:rsidRPr="000A5869">
        <w:rPr>
          <w:color w:val="000000"/>
          <w:rtl/>
        </w:rPr>
        <w:t>האומר לחבירו מודר אני וכו'. אמר שמואל: בכולן עד שיאמר שאני אוכל לך, שאני טועם לך. מיתיבי:</w:t>
      </w:r>
      <w:r w:rsidRPr="000A5869">
        <w:rPr>
          <w:rFonts w:hint="cs"/>
          <w:color w:val="000000"/>
          <w:rtl/>
        </w:rPr>
        <w:t xml:space="preserve"> ... [ה:] ... </w:t>
      </w:r>
      <w:r w:rsidRPr="000A5869">
        <w:rPr>
          <w:color w:val="000000"/>
          <w:rtl/>
        </w:rPr>
        <w:t xml:space="preserve">אלא הכי איתמר: טעמא דאמר שאני אוכל לך ושאני טועם לך </w:t>
      </w:r>
      <w:r w:rsidR="00E477C1" w:rsidRPr="000A5869">
        <w:rPr>
          <w:color w:val="000000"/>
          <w:rtl/>
        </w:rPr>
        <w:t>–</w:t>
      </w:r>
      <w:r w:rsidRPr="000A5869">
        <w:rPr>
          <w:color w:val="000000"/>
          <w:rtl/>
        </w:rPr>
        <w:t xml:space="preserve"> הוא דאסור, אבל אמר מודרני הימך </w:t>
      </w:r>
      <w:r w:rsidR="00E477C1" w:rsidRPr="000A5869">
        <w:rPr>
          <w:color w:val="000000"/>
          <w:rtl/>
        </w:rPr>
        <w:t>–</w:t>
      </w:r>
      <w:r w:rsidRPr="000A5869">
        <w:rPr>
          <w:color w:val="000000"/>
          <w:rtl/>
        </w:rPr>
        <w:t xml:space="preserve"> לא משמע דאמר אסור, מאי טעמא? מודר אני ממך </w:t>
      </w:r>
      <w:r w:rsidR="00E477C1" w:rsidRPr="000A5869">
        <w:rPr>
          <w:color w:val="000000"/>
          <w:rtl/>
        </w:rPr>
        <w:t>–</w:t>
      </w:r>
      <w:r w:rsidRPr="000A5869">
        <w:rPr>
          <w:color w:val="000000"/>
          <w:rtl/>
        </w:rPr>
        <w:t xml:space="preserve"> לא משתעינא בהדך משמע, מופרשני ממך </w:t>
      </w:r>
      <w:r w:rsidR="00E477C1" w:rsidRPr="000A5869">
        <w:rPr>
          <w:color w:val="000000"/>
          <w:rtl/>
        </w:rPr>
        <w:t>–</w:t>
      </w:r>
      <w:r w:rsidRPr="000A5869">
        <w:rPr>
          <w:color w:val="000000"/>
          <w:rtl/>
        </w:rPr>
        <w:t xml:space="preserve"> דלא עבידנא עמך משא ומתן משמע, מרוחקני ממך </w:t>
      </w:r>
      <w:r w:rsidR="00E477C1" w:rsidRPr="000A5869">
        <w:rPr>
          <w:color w:val="000000"/>
          <w:rtl/>
        </w:rPr>
        <w:t>–</w:t>
      </w:r>
      <w:r w:rsidRPr="000A5869">
        <w:rPr>
          <w:color w:val="000000"/>
          <w:rtl/>
        </w:rPr>
        <w:t xml:space="preserve"> דלא קאימנא בד' אמות דילך משמע. [דף ה עמוד ב] לימא קסבר שמואל: ידים שאין מוכיחות לא הוויין ידים! אין, שמואל מוקים לה למתני' כר' יהודה, דאמר: ידים שאין מוכיחות לא הוויין ידים; דתנן, גופו של גט: הרי את מותרת לכל אדם, רבי יהודה אומר: ודין דיהוי ליכי מינאי ספר תירוכין ואיגרת שבוקין. אמאי דחיק שמואל לאוקומה למתני' כרבי יהודה? לוקמה כרבנן אף על גב דאין ידים מוכיחות! אמר רבא: מתני' קשיתיה, אמאי תאני שאני אוכל לך, שאני טועם לך? ליתני שאני אוכל, שאני טועם! ש"מ, בעינן ידים מוכיחות. איתמר: ידים שאין מוכיחות </w:t>
      </w:r>
      <w:r w:rsidR="00E477C1" w:rsidRPr="000A5869">
        <w:rPr>
          <w:color w:val="000000"/>
          <w:rtl/>
        </w:rPr>
        <w:t>–</w:t>
      </w:r>
      <w:r w:rsidRPr="000A5869">
        <w:rPr>
          <w:color w:val="000000"/>
          <w:rtl/>
        </w:rPr>
        <w:t xml:space="preserve"> אביי אמר: הוויין ידים, ורבא אמר: לא הוויין ידים. אמר רבא: רבי אידי אסברה לי, אמר קרא: נזיר להזיר לי"י, מקיש ידות נזירות לנזירות, מה נזירות בהפלאה, אף ידות נזירות בהפלאה. לימא, בפלוגתא דר' יהודה ורבנן קמיפלגי! דתנן, גופו של גט: הרי את מותרת לכל אדם, ר' יהודה אומר: ודין דיהוי ליכי מינאי ספר תירוכין וגט פטורין ואיגרת שבוקין; אביי דאמר כרבנן, ורבא דאמר כרבי יהודה! אמר לך אביי: אנא דאמרי אפי' לר' יהודה, עד כאן לא קאמר רבי יהודה בעינן ידים מוכיחות </w:t>
      </w:r>
      <w:r w:rsidR="00E477C1" w:rsidRPr="000A5869">
        <w:rPr>
          <w:color w:val="000000"/>
          <w:rtl/>
        </w:rPr>
        <w:t>–</w:t>
      </w:r>
      <w:r w:rsidRPr="000A5869">
        <w:rPr>
          <w:color w:val="000000"/>
          <w:rtl/>
        </w:rPr>
        <w:t xml:space="preserve"> אלא גבי גט, דבעינן כריתות וליכא, אבל בעלמא מי שמעת ליה? ורבא אמר: אנא דאמרי אפי' לרבנן, ע"כ לא קאמרי רבנן דלא בעינן ידים מוכיחות </w:t>
      </w:r>
      <w:r w:rsidR="00E477C1" w:rsidRPr="000A5869">
        <w:rPr>
          <w:color w:val="000000"/>
          <w:rtl/>
        </w:rPr>
        <w:t>–</w:t>
      </w:r>
      <w:r w:rsidRPr="000A5869">
        <w:rPr>
          <w:color w:val="000000"/>
          <w:rtl/>
        </w:rPr>
        <w:t xml:space="preserve"> אלא גבי גט, [דף ו עמוד א] דאין אדם מגרש את אשת חבירו, אבל בעלמא מי שמעת להו?</w:t>
      </w:r>
    </w:p>
    <w:p w:rsidR="00B76157" w:rsidRPr="000A5869" w:rsidRDefault="00B76157" w:rsidP="00B76157">
      <w:pPr>
        <w:bidi/>
        <w:rPr>
          <w:color w:val="000000"/>
          <w:rtl/>
        </w:rPr>
      </w:pPr>
    </w:p>
    <w:p w:rsidR="00B76157" w:rsidRPr="000A5869" w:rsidRDefault="00E477C1" w:rsidP="00E477C1">
      <w:pPr>
        <w:rPr>
          <w:color w:val="000000"/>
        </w:rPr>
      </w:pPr>
      <w:proofErr w:type="gramStart"/>
      <w:r w:rsidRPr="000A5869">
        <w:rPr>
          <w:color w:val="000000"/>
        </w:rPr>
        <w:t xml:space="preserve">In what two ways to these two </w:t>
      </w:r>
      <w:proofErr w:type="spellStart"/>
      <w:r w:rsidRPr="000A5869">
        <w:rPr>
          <w:color w:val="000000"/>
        </w:rPr>
        <w:t>sugyot</w:t>
      </w:r>
      <w:proofErr w:type="spellEnd"/>
      <w:r w:rsidRPr="000A5869">
        <w:rPr>
          <w:color w:val="000000"/>
        </w:rPr>
        <w:t xml:space="preserve"> conflict with one another?</w:t>
      </w:r>
      <w:proofErr w:type="gramEnd"/>
    </w:p>
    <w:p w:rsidR="00E477C1" w:rsidRPr="000A5869" w:rsidRDefault="00E477C1" w:rsidP="000A5869">
      <w:pPr>
        <w:bidi/>
        <w:rPr>
          <w:rFonts w:hint="cs"/>
          <w:color w:val="000000"/>
          <w:rtl/>
        </w:rPr>
      </w:pPr>
    </w:p>
    <w:p w:rsidR="000A5869" w:rsidRPr="000A5869" w:rsidRDefault="000A5869" w:rsidP="000A5869">
      <w:pPr>
        <w:autoSpaceDE w:val="0"/>
        <w:autoSpaceDN w:val="0"/>
        <w:bidi/>
        <w:adjustRightInd w:val="0"/>
        <w:rPr>
          <w:b/>
          <w:bCs/>
        </w:rPr>
      </w:pPr>
      <w:r w:rsidRPr="000A5869">
        <w:rPr>
          <w:b/>
          <w:bCs/>
          <w:color w:val="000000"/>
          <w:u w:val="single"/>
          <w:rtl/>
        </w:rPr>
        <w:t xml:space="preserve">נזיר </w:t>
      </w:r>
      <w:r w:rsidRPr="000A5869">
        <w:rPr>
          <w:rFonts w:hint="cs"/>
          <w:b/>
          <w:bCs/>
          <w:color w:val="000000"/>
          <w:u w:val="single"/>
          <w:rtl/>
        </w:rPr>
        <w:t>ב.</w:t>
      </w:r>
    </w:p>
    <w:p w:rsidR="000A5869" w:rsidRPr="000A5869" w:rsidRDefault="000A5869" w:rsidP="000A5869">
      <w:pPr>
        <w:autoSpaceDE w:val="0"/>
        <w:autoSpaceDN w:val="0"/>
        <w:bidi/>
        <w:adjustRightInd w:val="0"/>
        <w:rPr>
          <w:color w:val="000000"/>
          <w:rtl/>
        </w:rPr>
      </w:pPr>
      <w:r w:rsidRPr="000A5869">
        <w:rPr>
          <w:color w:val="000000"/>
          <w:rtl/>
        </w:rPr>
        <w:t xml:space="preserve">/מתני'/. כל כינויי נזירות כנזירות. האומר אהא - הרי זה נזיר, או אהא נאה - נזיר. נזיק נזיח פזיח - הרי זה נזיר. הריני כזה, הריני מסלסל, הריני מכלכל, הרי עלי לשלח פרע - הרי זה נזיר. הרי עלי ציפורים - ר"מ אומר: נזיר, וחכמים אומרים: אינו נזיר. </w:t>
      </w:r>
      <w:r>
        <w:rPr>
          <w:rFonts w:hint="cs"/>
          <w:color w:val="000000"/>
          <w:rtl/>
        </w:rPr>
        <w:t xml:space="preserve"> גמ'</w:t>
      </w:r>
      <w:bookmarkStart w:id="0" w:name="_GoBack"/>
      <w:bookmarkEnd w:id="0"/>
    </w:p>
    <w:p w:rsidR="000A5869" w:rsidRPr="000A5869" w:rsidRDefault="000A5869" w:rsidP="000A5869">
      <w:pPr>
        <w:bidi/>
        <w:rPr>
          <w:rFonts w:hint="cs"/>
          <w:color w:val="000000"/>
          <w:rtl/>
        </w:rPr>
      </w:pPr>
      <w:r w:rsidRPr="000A5869">
        <w:rPr>
          <w:rFonts w:hint="cs"/>
          <w:color w:val="000000"/>
          <w:rtl/>
        </w:rPr>
        <w:t xml:space="preserve">... </w:t>
      </w:r>
      <w:r>
        <w:rPr>
          <w:rFonts w:hint="cs"/>
          <w:color w:val="000000"/>
          <w:rtl/>
        </w:rPr>
        <w:t>[ג:]|</w:t>
      </w:r>
      <w:r w:rsidRPr="000A5869">
        <w:rPr>
          <w:color w:val="000000"/>
          <w:rtl/>
        </w:rPr>
        <w:t>האומר אהא - הרי זה נזיר. דלמא אהא בתענית קאמר! אמר שמואל: כגון שהיה נזיר עובר לפניו. לימא קסבר שמואל: ידים שאינן מוכיחות לא הויין ידים! אמרי: בזמן שנזיר עובר לפניו - ליכא לספוקא במילתא אחרינא, אבל ודאי אין הנזיר עובר לפניו - אמרינן דלמא אהא בתענית קאמר. ודלמא לפוטרו מן קרבנותיו קאמר! דקאמר בלבו. אי הכי, מאי למימרא? מהו דתימא בעינן פיו ולבו שוין, קמ"ל.</w:t>
      </w:r>
    </w:p>
    <w:p w:rsidR="000A5869" w:rsidRPr="000A5869" w:rsidRDefault="000A5869" w:rsidP="000A5869">
      <w:pPr>
        <w:bidi/>
        <w:rPr>
          <w:rFonts w:hint="cs"/>
          <w:color w:val="000000"/>
          <w:rtl/>
        </w:rPr>
      </w:pPr>
    </w:p>
    <w:p w:rsidR="000A5869" w:rsidRPr="000A5869" w:rsidRDefault="000A5869" w:rsidP="000A5869">
      <w:pPr>
        <w:autoSpaceDE w:val="0"/>
        <w:autoSpaceDN w:val="0"/>
        <w:bidi/>
        <w:adjustRightInd w:val="0"/>
      </w:pPr>
      <w:r w:rsidRPr="000A5869">
        <w:rPr>
          <w:b/>
          <w:bCs/>
          <w:color w:val="000000"/>
          <w:u w:val="single"/>
          <w:rtl/>
        </w:rPr>
        <w:t xml:space="preserve">קידושין </w:t>
      </w:r>
      <w:r w:rsidRPr="000A5869">
        <w:rPr>
          <w:rFonts w:hint="cs"/>
          <w:b/>
          <w:bCs/>
          <w:color w:val="000000"/>
          <w:u w:val="single"/>
          <w:rtl/>
        </w:rPr>
        <w:t>ה:</w:t>
      </w:r>
    </w:p>
    <w:p w:rsidR="000A5869" w:rsidRPr="000A5869" w:rsidRDefault="000A5869" w:rsidP="000A5869">
      <w:pPr>
        <w:bidi/>
        <w:rPr>
          <w:rFonts w:hint="cs"/>
          <w:color w:val="000000"/>
          <w:rtl/>
        </w:rPr>
      </w:pPr>
      <w:r w:rsidRPr="000A5869">
        <w:rPr>
          <w:color w:val="000000"/>
          <w:rtl/>
        </w:rPr>
        <w:t>אמר שמואל: בקידושין, נתן לה כסף ושוה כסף, ואמר לה הרי את מקודשת, הרי את מאורסת הרי את (לי) לאינתו - הרי זו מקודשת, הריני אישך, הריני בעליך, הריני ארוסיך - אין כאן בית מיחוש; וכן בגירושין, נתן לה ואמר לה הרי את משולחת, הרי את מגורשת, הרי את מותרת לכל אדם - הרי זו מגורשת, איני אישך, איני בעליך, איני ארוסיך - אין כאן בית מיחוש. אמר ליה רב פפא לאביי: למימרא, דסבר שמואל ידים שאין מוכיחות הויין ידים, והתנן: האומר אהא - הרי זה נזיר; והוינן בה, ודילמא אהא בתענית קאמר! ואמר שמואל: והוא שהיה נזיר עובר לפניו; טעמא דנזיר עובר לפניו, הא לאו הכי לא! הכא במאי עסקינן - דאמר לי. אי הכי, מאי קמ"ל? הנילישני בתראי קמ"ל; הכא כתיב: כי יקח - ולא שיקח את עצמו, והכא כתיב: ושלחה - ולא שישלח את עצמו.</w:t>
      </w:r>
    </w:p>
    <w:sectPr w:rsidR="000A5869" w:rsidRPr="000A5869" w:rsidSect="000A58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57"/>
    <w:rsid w:val="000A5869"/>
    <w:rsid w:val="00786474"/>
    <w:rsid w:val="008D095B"/>
    <w:rsid w:val="00B76157"/>
    <w:rsid w:val="00D45B2A"/>
    <w:rsid w:val="00E477C1"/>
    <w:rsid w:val="00F8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2782</Characters>
  <Application>Microsoft Office Word</Application>
  <DocSecurity>0</DocSecurity>
  <Lines>23</Lines>
  <Paragraphs>6</Paragraphs>
  <ScaleCrop>false</ScaleCrop>
  <Company>HP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JW</cp:lastModifiedBy>
  <cp:revision>3</cp:revision>
  <dcterms:created xsi:type="dcterms:W3CDTF">2023-01-23T13:20:00Z</dcterms:created>
  <dcterms:modified xsi:type="dcterms:W3CDTF">2023-01-24T13:32:00Z</dcterms:modified>
</cp:coreProperties>
</file>