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9B9" w:rsidRPr="004B29B9" w:rsidRDefault="004B29B9" w:rsidP="004B29B9">
      <w:pPr>
        <w:autoSpaceDE w:val="0"/>
        <w:autoSpaceDN w:val="0"/>
        <w:bidi/>
        <w:adjustRightInd w:val="0"/>
        <w:rPr>
          <w:rFonts w:hint="cs"/>
          <w:color w:val="000000"/>
          <w:u w:val="single"/>
          <w:rtl/>
        </w:rPr>
      </w:pPr>
      <w:r w:rsidRPr="004B29B9">
        <w:rPr>
          <w:rFonts w:hint="cs"/>
          <w:color w:val="000000"/>
          <w:u w:val="single"/>
          <w:rtl/>
        </w:rPr>
        <w:t>בענין הלכתא כר"א בגיטין או בשאר שטרות נמי</w:t>
      </w:r>
    </w:p>
    <w:p w:rsidR="004B29B9" w:rsidRDefault="004B29B9" w:rsidP="004B29B9">
      <w:pPr>
        <w:autoSpaceDE w:val="0"/>
        <w:autoSpaceDN w:val="0"/>
        <w:bidi/>
        <w:adjustRightInd w:val="0"/>
        <w:rPr>
          <w:rFonts w:hint="cs"/>
          <w:color w:val="000000"/>
          <w:rtl/>
        </w:rPr>
      </w:pPr>
      <w:r>
        <w:rPr>
          <w:rFonts w:hint="cs"/>
          <w:color w:val="000000"/>
          <w:rtl/>
        </w:rPr>
        <w:t>גמ גיטין פו: ר' אלעזר אומר ... המשנה</w:t>
      </w:r>
    </w:p>
    <w:p w:rsidR="004B29B9" w:rsidRDefault="004B29B9" w:rsidP="004B29B9">
      <w:pPr>
        <w:autoSpaceDE w:val="0"/>
        <w:autoSpaceDN w:val="0"/>
        <w:bidi/>
        <w:adjustRightInd w:val="0"/>
        <w:rPr>
          <w:rFonts w:hint="cs"/>
          <w:color w:val="000000"/>
          <w:rtl/>
        </w:rPr>
      </w:pPr>
      <w:r>
        <w:rPr>
          <w:rFonts w:hint="cs"/>
          <w:color w:val="000000"/>
          <w:rtl/>
        </w:rPr>
        <w:t xml:space="preserve">רי"ף </w:t>
      </w:r>
      <w:r w:rsidR="00522673">
        <w:rPr>
          <w:rFonts w:hint="cs"/>
          <w:color w:val="000000"/>
          <w:rtl/>
        </w:rPr>
        <w:t>מו: אמר רב יהודה ... שם מז. והלכתא כר"א בגיטין</w:t>
      </w:r>
    </w:p>
    <w:p w:rsidR="00522673" w:rsidRDefault="00522673" w:rsidP="00522673">
      <w:pPr>
        <w:autoSpaceDE w:val="0"/>
        <w:autoSpaceDN w:val="0"/>
        <w:bidi/>
        <w:adjustRightInd w:val="0"/>
        <w:rPr>
          <w:rFonts w:hint="cs"/>
          <w:color w:val="000000"/>
          <w:rtl/>
        </w:rPr>
      </w:pPr>
      <w:r>
        <w:rPr>
          <w:rFonts w:hint="cs"/>
          <w:color w:val="000000"/>
          <w:rtl/>
        </w:rPr>
        <w:t>גמ' סנהדרין כח: אמר רב יהודה ... דאותביניה לך</w:t>
      </w:r>
    </w:p>
    <w:p w:rsidR="00522673" w:rsidRDefault="00522673" w:rsidP="00522673">
      <w:pPr>
        <w:autoSpaceDE w:val="0"/>
        <w:autoSpaceDN w:val="0"/>
        <w:bidi/>
        <w:adjustRightInd w:val="0"/>
        <w:rPr>
          <w:rFonts w:hint="cs"/>
          <w:color w:val="000000"/>
          <w:rtl/>
        </w:rPr>
      </w:pPr>
      <w:r>
        <w:rPr>
          <w:rFonts w:hint="cs"/>
          <w:color w:val="000000"/>
          <w:rtl/>
        </w:rPr>
        <w:t>גמ' כתבוות צד. איתמר ב' שטרות ... שם: מה שירצה שליש יעשה</w:t>
      </w:r>
    </w:p>
    <w:p w:rsidR="00522673" w:rsidRDefault="00522673" w:rsidP="00522673">
      <w:pPr>
        <w:autoSpaceDE w:val="0"/>
        <w:autoSpaceDN w:val="0"/>
        <w:bidi/>
        <w:adjustRightInd w:val="0"/>
        <w:rPr>
          <w:rFonts w:hint="cs"/>
          <w:color w:val="000000"/>
          <w:rtl/>
        </w:rPr>
      </w:pPr>
      <w:r>
        <w:rPr>
          <w:rFonts w:hint="cs"/>
          <w:color w:val="000000"/>
          <w:rtl/>
        </w:rPr>
        <w:t>משנה ב"מ יב: מצא שטרי חוב</w:t>
      </w:r>
    </w:p>
    <w:p w:rsidR="00522673" w:rsidRDefault="00522673" w:rsidP="00522673">
      <w:pPr>
        <w:autoSpaceDE w:val="0"/>
        <w:autoSpaceDN w:val="0"/>
        <w:bidi/>
        <w:adjustRightInd w:val="0"/>
        <w:rPr>
          <w:rFonts w:hint="cs"/>
          <w:color w:val="000000"/>
          <w:rtl/>
        </w:rPr>
      </w:pPr>
      <w:r>
        <w:rPr>
          <w:rFonts w:hint="cs"/>
          <w:color w:val="000000"/>
          <w:rtl/>
        </w:rPr>
        <w:t>גמ' שם .. שם יד. דחיישינן לפירעון</w:t>
      </w:r>
    </w:p>
    <w:p w:rsidR="00522673" w:rsidRDefault="00522673" w:rsidP="00522673">
      <w:pPr>
        <w:autoSpaceDE w:val="0"/>
        <w:autoSpaceDN w:val="0"/>
        <w:bidi/>
        <w:adjustRightInd w:val="0"/>
        <w:rPr>
          <w:rFonts w:hint="cs"/>
          <w:color w:val="000000"/>
          <w:rtl/>
        </w:rPr>
      </w:pPr>
      <w:r>
        <w:rPr>
          <w:rFonts w:hint="cs"/>
          <w:color w:val="000000"/>
          <w:rtl/>
        </w:rPr>
        <w:t>השגות הראב"ד שם כתב הרב ז"ל אע"פ שכולם הושוו</w:t>
      </w:r>
    </w:p>
    <w:p w:rsidR="00522673" w:rsidRDefault="00522673" w:rsidP="00522673">
      <w:pPr>
        <w:autoSpaceDE w:val="0"/>
        <w:autoSpaceDN w:val="0"/>
        <w:bidi/>
        <w:adjustRightInd w:val="0"/>
        <w:rPr>
          <w:rFonts w:hint="cs"/>
          <w:color w:val="000000"/>
          <w:rtl/>
        </w:rPr>
      </w:pPr>
      <w:r>
        <w:rPr>
          <w:rFonts w:hint="cs"/>
          <w:color w:val="000000"/>
          <w:rtl/>
        </w:rPr>
        <w:t>ספר הזכות שם</w:t>
      </w:r>
    </w:p>
    <w:p w:rsidR="00522673" w:rsidRPr="004B29B9" w:rsidRDefault="00522673" w:rsidP="00522673">
      <w:pPr>
        <w:autoSpaceDE w:val="0"/>
        <w:autoSpaceDN w:val="0"/>
        <w:bidi/>
        <w:adjustRightInd w:val="0"/>
        <w:rPr>
          <w:rFonts w:hint="cs"/>
          <w:color w:val="000000"/>
          <w:rtl/>
        </w:rPr>
      </w:pPr>
      <w:r>
        <w:rPr>
          <w:rFonts w:hint="cs"/>
          <w:color w:val="000000"/>
          <w:rtl/>
        </w:rPr>
        <w:t>רמב"ם פי"א מהלכות מלוה ולוה הל"ב</w:t>
      </w:r>
    </w:p>
    <w:p w:rsidR="004B29B9" w:rsidRDefault="004B29B9" w:rsidP="004B29B9">
      <w:pPr>
        <w:autoSpaceDE w:val="0"/>
        <w:autoSpaceDN w:val="0"/>
        <w:bidi/>
        <w:adjustRightInd w:val="0"/>
        <w:rPr>
          <w:rFonts w:hint="cs"/>
          <w:b/>
          <w:bCs/>
          <w:color w:val="000000"/>
          <w:u w:val="single"/>
          <w:rtl/>
        </w:rPr>
      </w:pPr>
    </w:p>
    <w:p w:rsidR="004B29B9" w:rsidRPr="004B29B9" w:rsidRDefault="004B29B9" w:rsidP="004B29B9">
      <w:pPr>
        <w:autoSpaceDE w:val="0"/>
        <w:autoSpaceDN w:val="0"/>
        <w:bidi/>
        <w:adjustRightInd w:val="0"/>
      </w:pPr>
      <w:r w:rsidRPr="004B29B9">
        <w:rPr>
          <w:b/>
          <w:bCs/>
          <w:color w:val="000000"/>
          <w:u w:val="single"/>
          <w:rtl/>
        </w:rPr>
        <w:t xml:space="preserve">סנהדרין </w:t>
      </w:r>
      <w:r>
        <w:rPr>
          <w:rFonts w:hint="cs"/>
          <w:b/>
          <w:bCs/>
          <w:color w:val="000000"/>
          <w:u w:val="single"/>
          <w:rtl/>
        </w:rPr>
        <w:t>כח:</w:t>
      </w:r>
    </w:p>
    <w:p w:rsidR="008D095B" w:rsidRPr="004B29B9" w:rsidRDefault="004B29B9" w:rsidP="004B29B9">
      <w:pPr>
        <w:bidi/>
        <w:rPr>
          <w:rFonts w:hint="cs"/>
          <w:color w:val="000000"/>
          <w:rtl/>
        </w:rPr>
      </w:pPr>
      <w:r w:rsidRPr="004B29B9">
        <w:rPr>
          <w:color w:val="000000"/>
          <w:rtl/>
        </w:rPr>
        <w:t>אמר רב יהודה אמר שמואל: הלכה כרבי יוסי. ההיא מתנתא דהוי חתימי עלה תרי גיסי. סבר רב יוסף לאכשורה. דאמר רב יהודה אמר שמואל: הלכה כרבי יוסי. אמר ליה אביי: ממאי דרבי יוסי דמתניתין, דמכשר בגיסו? דילמא רבי יוסי דברייתא, דפסיל בגיסו? - לא סלקא דעתך, דאמר שמואל: כגון אנא ופנחס, דהוינן אחי וגיסי. אבל גיסי דעלמא - שפיר דמי. - ודילמא כגון אנא ופנחס - משום דגיסו קאמר! - אמר ליה: זיל קניה בעדי מסירה כרבי אלעזר. - והאמר רבי אבא: מודה רבי אלעזר במזויף מתוכו שהוא פסול! - אמר ליה: זיל, לא שבקי לי דאותביניה לך.</w:t>
      </w:r>
    </w:p>
    <w:p w:rsidR="004B29B9" w:rsidRPr="004B29B9" w:rsidRDefault="004B29B9" w:rsidP="004B29B9">
      <w:pPr>
        <w:bidi/>
        <w:rPr>
          <w:rFonts w:hint="cs"/>
          <w:color w:val="000000"/>
          <w:rtl/>
        </w:rPr>
      </w:pPr>
    </w:p>
    <w:p w:rsidR="004B29B9" w:rsidRPr="004B29B9" w:rsidRDefault="004B29B9" w:rsidP="004B29B9">
      <w:pPr>
        <w:autoSpaceDE w:val="0"/>
        <w:autoSpaceDN w:val="0"/>
        <w:bidi/>
        <w:adjustRightInd w:val="0"/>
      </w:pPr>
      <w:r w:rsidRPr="004B29B9">
        <w:rPr>
          <w:b/>
          <w:bCs/>
          <w:color w:val="000000"/>
          <w:u w:val="single"/>
          <w:rtl/>
        </w:rPr>
        <w:t xml:space="preserve">כתובות </w:t>
      </w:r>
      <w:r>
        <w:rPr>
          <w:rFonts w:hint="cs"/>
          <w:b/>
          <w:bCs/>
          <w:color w:val="000000"/>
          <w:u w:val="single"/>
          <w:rtl/>
        </w:rPr>
        <w:t xml:space="preserve">צד. </w:t>
      </w:r>
      <w:r>
        <w:rPr>
          <w:b/>
          <w:bCs/>
          <w:color w:val="000000"/>
          <w:u w:val="single"/>
          <w:rtl/>
        </w:rPr>
        <w:t>–</w:t>
      </w:r>
      <w:r>
        <w:rPr>
          <w:rFonts w:hint="cs"/>
          <w:b/>
          <w:bCs/>
          <w:color w:val="000000"/>
          <w:u w:val="single"/>
          <w:rtl/>
        </w:rPr>
        <w:t xml:space="preserve"> צד:</w:t>
      </w:r>
    </w:p>
    <w:p w:rsidR="004B29B9" w:rsidRDefault="004B29B9" w:rsidP="004B29B9">
      <w:pPr>
        <w:autoSpaceDE w:val="0"/>
        <w:autoSpaceDN w:val="0"/>
        <w:bidi/>
        <w:adjustRightInd w:val="0"/>
        <w:rPr>
          <w:rFonts w:hint="cs"/>
          <w:color w:val="000000"/>
          <w:rtl/>
        </w:rPr>
      </w:pPr>
      <w:r w:rsidRPr="004B29B9">
        <w:rPr>
          <w:color w:val="000000"/>
          <w:rtl/>
        </w:rPr>
        <w:t>אתמר: ב' שטרות היוצאים ביום אחד, רב אמר: חולקין, ושמואל אמר: שודא דדייני. לימא, רב דאמר כר"מ, דאמר: עדי חתימה כרתי,</w:t>
      </w:r>
      <w:r w:rsidRPr="004B29B9">
        <w:rPr>
          <w:rFonts w:hint="cs"/>
          <w:color w:val="000000"/>
          <w:rtl/>
        </w:rPr>
        <w:t xml:space="preserve"> [צד:]</w:t>
      </w:r>
      <w:r w:rsidRPr="004B29B9">
        <w:rPr>
          <w:rFonts w:hint="cs"/>
          <w:b/>
          <w:bCs/>
          <w:color w:val="000000"/>
          <w:rtl/>
        </w:rPr>
        <w:t xml:space="preserve"> </w:t>
      </w:r>
      <w:r w:rsidRPr="004B29B9">
        <w:rPr>
          <w:color w:val="000000"/>
          <w:rtl/>
        </w:rPr>
        <w:t>ושמואל דאמר כרבי אלעזר, דאמר: עדי מסירה כרתי! לא, דכולי עלמא כרבי אלעזר, והכא בהא קמיפלגי, רב סבר: חלוקה עדיפא, ושמואל סבר: שודא דדייני עדיפא. ומי מצית מוקמת ליה לרב כר' אלעזר? והאמר רב יהודה אמר רב: הלכה כרבי אלעזר בגיטין, כי אמריתה קמיה דשמואל, אמר: אף בשטרות, מכלל דרב סבר: בשטרות לא! אלא מחוורתא, רב כר"מ ושמואל כרבי אלעזר. מיתיבי: שני שטרות היוצאים ביום אחד - חולקין, תיובתא דשמואל! אמר לך שמואל: הא מני? ר"מ היא, ואנא דאמרי כר' אלעזר. אי ר"מ, אימא סיפא: כתב לאחד ומסר לאחר - זה שמסר לו קנה, ואי רבי מאיר, אמאי קנה? האמר: עדי חתימה כרתי! תנאי היא; דתניא, וחכמים אומרים: יחלוקו, וכאן אמרו: מה שירצה השליש יעשה.</w:t>
      </w:r>
    </w:p>
    <w:p w:rsidR="004B29B9" w:rsidRDefault="004B29B9" w:rsidP="004B29B9">
      <w:pPr>
        <w:autoSpaceDE w:val="0"/>
        <w:autoSpaceDN w:val="0"/>
        <w:bidi/>
        <w:adjustRightInd w:val="0"/>
        <w:rPr>
          <w:rFonts w:hint="cs"/>
          <w:color w:val="000000"/>
          <w:rtl/>
        </w:rPr>
      </w:pPr>
    </w:p>
    <w:p w:rsidR="004B29B9" w:rsidRPr="004B29B9" w:rsidRDefault="004B29B9" w:rsidP="004B29B9">
      <w:pPr>
        <w:autoSpaceDE w:val="0"/>
        <w:autoSpaceDN w:val="0"/>
        <w:bidi/>
        <w:adjustRightInd w:val="0"/>
        <w:rPr>
          <w:color w:val="000000"/>
          <w:rtl/>
        </w:rPr>
      </w:pPr>
      <w:r w:rsidRPr="004B29B9">
        <w:rPr>
          <w:b/>
          <w:bCs/>
          <w:color w:val="000000"/>
          <w:u w:val="single"/>
          <w:rtl/>
        </w:rPr>
        <w:t xml:space="preserve">בבא מציעא </w:t>
      </w:r>
      <w:r>
        <w:rPr>
          <w:rFonts w:hint="cs"/>
          <w:b/>
          <w:bCs/>
          <w:color w:val="000000"/>
          <w:u w:val="single"/>
          <w:rtl/>
        </w:rPr>
        <w:t>יב:</w:t>
      </w:r>
      <w:r w:rsidRPr="004B29B9">
        <w:rPr>
          <w:color w:val="000000"/>
          <w:rtl/>
        </w:rPr>
        <w:t xml:space="preserve"> </w:t>
      </w:r>
    </w:p>
    <w:p w:rsidR="004B29B9" w:rsidRPr="004B29B9" w:rsidRDefault="004B29B9" w:rsidP="004B29B9">
      <w:pPr>
        <w:autoSpaceDE w:val="0"/>
        <w:autoSpaceDN w:val="0"/>
        <w:bidi/>
        <w:adjustRightInd w:val="0"/>
        <w:rPr>
          <w:color w:val="000000"/>
          <w:rtl/>
        </w:rPr>
      </w:pPr>
      <w:r w:rsidRPr="004B29B9">
        <w:rPr>
          <w:color w:val="000000"/>
          <w:rtl/>
        </w:rPr>
        <w:t xml:space="preserve">משנה. מצא שטרי חוב, אם יש בהן אחריות נכסים - לא יחזיר, שבית דין נפרעין מהן. אין בהן אחריות נכסים - יחזיר, שאין בית דין נפרעין מהן, דברי רבי מאיר. וחכמים אומרים: בין כך ובין כך לא יחזיר, מפני שבית דין נפרעין מהן. </w:t>
      </w:r>
    </w:p>
    <w:p w:rsidR="004B29B9" w:rsidRDefault="004B29B9" w:rsidP="004B29B9">
      <w:pPr>
        <w:autoSpaceDE w:val="0"/>
        <w:autoSpaceDN w:val="0"/>
        <w:bidi/>
        <w:adjustRightInd w:val="0"/>
        <w:rPr>
          <w:rFonts w:hint="cs"/>
          <w:color w:val="000000"/>
          <w:rtl/>
        </w:rPr>
      </w:pPr>
      <w:r w:rsidRPr="004B29B9">
        <w:rPr>
          <w:color w:val="000000"/>
          <w:rtl/>
        </w:rPr>
        <w:t>גמרא. במאי עסקינן? אילימא כשחייב מודה? כי יש בהן אחריות נכסים אמאי לא יחזיר? הא מודה! ואי כשאין חייב מודה, כי אין בהן אחריות נכסים אמאי יחזיר? נהי דלא גבי ממשעבדי - מבני חרי מגבא גבי! - לעולם כשחייב מודה, והכא היינו טעמא: דחיישינן שמא כתב ללות בניסן, ולא לוה עד תשרי, ואתי למטרף לקוחות שלא כדין. - אי הכי, כל שטרי דאתו לקמן ניחוש להו הכי! - כל שטרי - לא ריעי, הני - ריעי. אלא הא דתנן: כותבין שטר ללוה אף על פי שאין מלוה עמו, לכתחילה היכי כתבינהו? ניחוש שמא כתב ללות בניסן, ולא לוה עד תשרי, ואתי למטרף לקוחות שלא כדין! אמר רב אסי:</w:t>
      </w:r>
      <w:r>
        <w:rPr>
          <w:rFonts w:hint="cs"/>
          <w:color w:val="000000"/>
          <w:rtl/>
        </w:rPr>
        <w:t xml:space="preserve"> [יג.] </w:t>
      </w:r>
      <w:r w:rsidRPr="004B29B9">
        <w:rPr>
          <w:color w:val="000000"/>
          <w:rtl/>
        </w:rPr>
        <w:t xml:space="preserve">בשטרי הקנאה, דהא שעביד נפשיה. - אי הכי, מתניתין דקתני אם יש בהן אחריות נכסים לא יחזיר ואוקימנא כשחייב מודה, ומשום שמא כתב ללות בניסן ולא לוה עד תשרי ואתי למטרף לקוחות שלא כדין, אמאי לא יחזיר? נחזי, אי בשטר הקנאה - הא שעביד ליה נפשיה, אי בשטר דלא הקנאה - ליכא למיחש, דהא אמרת כי ליכא מלוה בהדיה לא כתבינן. א"ל רב אסי: אף על גב דשטרי דלאו הקנאה כי ליכא מלוה בהדיה לא כתבינן, מתניתין כיון דנפל אתרע ליה, וחיישינן דלמא אקרי וכתוב. אביי אמר: עדיו בחתומיו זכין לו, ואפילו שטרי דלאו הקנאה. משום דקשיא ליה: כיון דאמרת בשטרי דלאו הקנאה כי ליתיה למלוה בהדיה לא כתבינן - ליכא למיחש דאקרי וכתוב. אלא הא דתנן: מצא גיטי נשים ושחרורי עבדים, דייתיקי, מתנה ושוברים - הרי זה לא יחזיר, שמא כתובים היו ונמלך עליהם שלא ליתנם. וכי נמלך עליהם מאי הוי? והא אמרת עדיו בחתומיו זכין לו! - הני מילי היכא דקא מטו לידיה, אבל היכא דלא מטו לידיה - לא אמרינן. אלא מתניתין, דקתני: מצא שטרי חוב, אם יש בהם אחריות נכסים - לא יחזיר. ואוקימנא כשחייב מודה, ומשום שמא כתב ללות בניסן ולא לוה עד תשרי. בשלמא לרב אסי, דאמר בשטרי אקנייתא - מוקי לה </w:t>
      </w:r>
      <w:r w:rsidRPr="004B29B9">
        <w:rPr>
          <w:color w:val="000000"/>
          <w:rtl/>
        </w:rPr>
        <w:lastRenderedPageBreak/>
        <w:t>בשטרי דלאו אקנייתא, וכדאמרינן. אלא לאביי, דאמר עדיו בחתומיו זכין לו, מאי איכא למימר? - אמר לך אביי: מתניתין היינו טעמא - דחייש לפרעון ולקנוניא. ולשמואל, דאמר: לא חיישינן לפרעון ולקנוניא, מאי איכא למימר? הניחא אי סבר לה כרב אסי, דאמר בשטרי הקנאה - מוקי מתניתין בשטרי דלאו הקנאה, אלא אי סבר כאביי, דאמר עדיו בחתומיו זכין לו מאי איכא למימר? - שמואל מוקי למתניתין כשאין חייב מודה. - אי הכי, כי אין בהן אחריות נכסים אמאי יחזיר? נהי דלא גבי מן משעבדי, מבני חרי מגבי גבי! - שמואל לטעמיה, דאמר שמואל, אומר היה רבי מאיר: שטר חוב שאין בו אחריות נכסים - אין גובה לא ממשעבדי ולא מבני חרי. - וכי מאחר שאינו גובה אמאי יחזיר? - אמר רבי נתן בר אושעיא: לצור על פי צלוחיתו של מלוה. ונהדריה להו ללוה לצור על פי צלוחיתו של לוה! - לוה הוא</w:t>
      </w:r>
    </w:p>
    <w:p w:rsidR="004B29B9" w:rsidRPr="004B29B9" w:rsidRDefault="004B29B9" w:rsidP="004B29B9">
      <w:pPr>
        <w:autoSpaceDE w:val="0"/>
        <w:autoSpaceDN w:val="0"/>
        <w:bidi/>
        <w:adjustRightInd w:val="0"/>
        <w:rPr>
          <w:color w:val="000000"/>
          <w:rtl/>
        </w:rPr>
      </w:pPr>
      <w:r>
        <w:rPr>
          <w:rFonts w:hint="cs"/>
          <w:color w:val="000000"/>
          <w:rtl/>
        </w:rPr>
        <w:t xml:space="preserve">[יג:] </w:t>
      </w:r>
      <w:r w:rsidRPr="004B29B9">
        <w:rPr>
          <w:color w:val="000000"/>
          <w:rtl/>
        </w:rPr>
        <w:t xml:space="preserve">דאמר: לא היו דברים מעולם. </w:t>
      </w:r>
    </w:p>
    <w:p w:rsidR="004B29B9" w:rsidRDefault="004B29B9" w:rsidP="004B29B9">
      <w:pPr>
        <w:autoSpaceDE w:val="0"/>
        <w:autoSpaceDN w:val="0"/>
        <w:bidi/>
        <w:adjustRightInd w:val="0"/>
        <w:rPr>
          <w:rFonts w:hint="cs"/>
          <w:color w:val="000000"/>
          <w:rtl/>
        </w:rPr>
      </w:pPr>
      <w:r w:rsidRPr="004B29B9">
        <w:rPr>
          <w:color w:val="000000"/>
          <w:rtl/>
        </w:rPr>
        <w:t>אמר רבי אלעזר: מחלוקת בשאין חייב מודה, דרבי מאיר סבר: שטר שאין בו אחריות נכסים - אינו גובה לא ממשעבדי ולא מבני חרי, ורבנן סברי: (ממשעבדי הוא דלא גבי, מבני חרי) - מגבא גבי. אבל כשחייב מודה - דברי הכל יחזיר, ולא חיישינן לפרעון ולקנוניא. ורבי יוחנן אמר: מחלוקת כשחייב מודה, דרבי מאיר סבר: שטר שאין בו אחריות נכסים - ממשעבדי הוא דלא גבי, אבל מבני חרי מגבא גבי. ורבנן סברי: ממשעבדי נמי גבי. אבל כשאין חייב מודה - דברי הכל לא יחזיר, דחיישינן לפרעון. תניא כוותיה דרבי יוחנן, ותיובתא דרבי אלעזר בחדא, ותיובתא דשמואל בתרתי: מצא שטרי חוב ויש בהם אחריות נכסים, אף על פי ששניהם מודים - לא יחזיר לא לזה ולא לזה. אין בהן אחריות נכסים, בזמן שהלוה מודה - יחזיר למלוה, אין הלוה מודה - לא יחזיר לא לזה ולא לזה, דברי רבי מאיר. שהיה רבי מאיר אומר: שטרי שיש בהם אחריות נכסים - גובה מנכסים משועבדים, ושאין בהם אחריות נכסים - גובה מנכסים בני חורין. וחכמים אומרים: אחד זה ואחד זה גובה מנכסים משועבדים. תיובתא דרבי אלעזר בחדא, דאמר: לרבי מאיר שטר שאין בו אחריות נכסים אינו גובה מנכסים משועבדים ולא מנכסים בני חורין, וקאמר בין לרבי מאיר בין לרבנן לא חיישינן לקנוניא, וברייתא קתני: שטר שאין בו אחריות נכסים - ממשעבדי הוא דלא גבי, הא מבני חורין - מגבא גבי. וקתני בין לרבי מאיר בין לרבנן חיישינן לקנוניא, דקתני: אף על פי ששניהם מודים - לא יחזיר לא לזה ולא לזה. אלמא: חיישינן לקנוניא. והא הני תרתי הוא!</w:t>
      </w:r>
      <w:r>
        <w:rPr>
          <w:rFonts w:hint="cs"/>
          <w:color w:val="000000"/>
          <w:rtl/>
        </w:rPr>
        <w:t xml:space="preserve"> [יד.] </w:t>
      </w:r>
      <w:r w:rsidRPr="004B29B9">
        <w:rPr>
          <w:color w:val="000000"/>
          <w:rtl/>
        </w:rPr>
        <w:t>- חדא הוא, דחד טעם הוא, דמשום דקאמר רבי אלעזר מחלוקת בשאין חייב מודה - הוא מתרץ הכי. תיובתא דשמואל בתרתי; חדא - כרבי אלעזר, דהא מוקי מתניתין בשאין חייב מודה. וחדא - דאמר שמואל: מצא שטר הקנאה בשוק - יחזיר לבעלים, ולא חיישינן לפרעון, תיובתא, דקתני הכא: אף על פי ששניהם מודים - לא יחזיר לא לזה ולא לזה, אלמא: חיישינן לפרעון. וכל שכן הכא דלא מודה לוה, דחיישינן לפרעון.</w:t>
      </w:r>
    </w:p>
    <w:p w:rsidR="00522673" w:rsidRDefault="00522673" w:rsidP="00522673">
      <w:pPr>
        <w:autoSpaceDE w:val="0"/>
        <w:autoSpaceDN w:val="0"/>
        <w:bidi/>
        <w:adjustRightInd w:val="0"/>
        <w:rPr>
          <w:rFonts w:hint="cs"/>
          <w:color w:val="000000"/>
          <w:rtl/>
        </w:rPr>
      </w:pPr>
    </w:p>
    <w:p w:rsidR="00522673" w:rsidRPr="00522673" w:rsidRDefault="00522673" w:rsidP="00522673">
      <w:pPr>
        <w:autoSpaceDE w:val="0"/>
        <w:autoSpaceDN w:val="0"/>
        <w:bidi/>
        <w:adjustRightInd w:val="0"/>
      </w:pPr>
      <w:r w:rsidRPr="00522673">
        <w:rPr>
          <w:b/>
          <w:bCs/>
          <w:color w:val="000000"/>
          <w:u w:val="single"/>
          <w:rtl/>
        </w:rPr>
        <w:t>רמב"ם הלכות מלוה ולוה פרק יא הלכה ב</w:t>
      </w:r>
      <w:r w:rsidRPr="00522673">
        <w:t xml:space="preserve"> </w:t>
      </w:r>
    </w:p>
    <w:p w:rsidR="00522673" w:rsidRPr="00522673" w:rsidRDefault="00522673" w:rsidP="00522673">
      <w:pPr>
        <w:autoSpaceDE w:val="0"/>
        <w:autoSpaceDN w:val="0"/>
        <w:bidi/>
        <w:adjustRightInd w:val="0"/>
        <w:rPr>
          <w:rFonts w:hint="cs"/>
          <w:rtl/>
        </w:rPr>
      </w:pPr>
      <w:bookmarkStart w:id="0" w:name="_GoBack"/>
      <w:bookmarkEnd w:id="0"/>
      <w:r w:rsidRPr="00522673">
        <w:rPr>
          <w:color w:val="000000"/>
          <w:rtl/>
        </w:rPr>
        <w:t>לוה שכתב שטר בכתב ידו והעיד בו עדים ונתנו למלוה הרי זה שטר כשר, וכן אם כתב שטר אף על פי שאין בו עדים ונתנו למלוה בפני עדים הרי זו מלוה בשטר והוא שיהיה כתב שאינו יכול להזדייף ויקראו אותו העדים שנמסר בפניהם, ויש מן הגאונים שהורה שצריך לומר לעדים שמסרו בפניהם חתמו והעידו שנמסר בפניכם.</w:t>
      </w:r>
    </w:p>
    <w:sectPr w:rsidR="00522673" w:rsidRPr="005226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9B9"/>
    <w:rsid w:val="004B29B9"/>
    <w:rsid w:val="00522673"/>
    <w:rsid w:val="00786474"/>
    <w:rsid w:val="008D095B"/>
    <w:rsid w:val="00D45B2A"/>
    <w:rsid w:val="00F855B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B2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B2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915</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dc:creator>
  <cp:lastModifiedBy>JW</cp:lastModifiedBy>
  <cp:revision>1</cp:revision>
  <dcterms:created xsi:type="dcterms:W3CDTF">2023-02-21T00:09:00Z</dcterms:created>
  <dcterms:modified xsi:type="dcterms:W3CDTF">2023-02-21T00:25:00Z</dcterms:modified>
</cp:coreProperties>
</file>