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3F" w:rsidRPr="000B563F" w:rsidRDefault="000B563F" w:rsidP="000B563F">
      <w:pPr>
        <w:autoSpaceDE w:val="0"/>
        <w:autoSpaceDN w:val="0"/>
        <w:bidi/>
        <w:adjustRightInd w:val="0"/>
        <w:rPr>
          <w:b/>
          <w:bCs/>
          <w:color w:val="000000"/>
          <w:sz w:val="28"/>
          <w:szCs w:val="28"/>
          <w:u w:val="single"/>
          <w:rtl/>
        </w:rPr>
      </w:pPr>
      <w:bookmarkStart w:id="0" w:name="_GoBack"/>
      <w:bookmarkEnd w:id="0"/>
      <w:r w:rsidRPr="000B563F">
        <w:rPr>
          <w:rFonts w:hint="cs"/>
          <w:b/>
          <w:bCs/>
          <w:color w:val="000000"/>
          <w:sz w:val="28"/>
          <w:szCs w:val="28"/>
          <w:u w:val="single"/>
          <w:rtl/>
        </w:rPr>
        <w:t>מקורות לברכות כח.-כח:</w:t>
      </w:r>
    </w:p>
    <w:p w:rsidR="000B563F" w:rsidRPr="000B563F" w:rsidRDefault="000B563F" w:rsidP="000B563F">
      <w:pPr>
        <w:autoSpaceDE w:val="0"/>
        <w:autoSpaceDN w:val="0"/>
        <w:bidi/>
        <w:adjustRightInd w:val="0"/>
        <w:rPr>
          <w:b/>
          <w:bCs/>
          <w:color w:val="000000"/>
          <w:sz w:val="28"/>
          <w:szCs w:val="28"/>
          <w:u w:val="single"/>
          <w:rtl/>
        </w:rPr>
      </w:pPr>
    </w:p>
    <w:p w:rsidR="000B563F" w:rsidRPr="000B563F" w:rsidRDefault="000B563F" w:rsidP="000B563F">
      <w:pPr>
        <w:autoSpaceDE w:val="0"/>
        <w:autoSpaceDN w:val="0"/>
        <w:bidi/>
        <w:adjustRightInd w:val="0"/>
        <w:rPr>
          <w:sz w:val="28"/>
          <w:szCs w:val="28"/>
        </w:rPr>
      </w:pPr>
      <w:r w:rsidRPr="000B563F">
        <w:rPr>
          <w:b/>
          <w:bCs/>
          <w:color w:val="000000"/>
          <w:sz w:val="28"/>
          <w:szCs w:val="28"/>
          <w:u w:val="single"/>
          <w:rtl/>
        </w:rPr>
        <w:t>תוספתא מסכת עדויות (צוקרמאנדל) פרק א הלכה א</w:t>
      </w:r>
      <w:r w:rsidRPr="000B563F">
        <w:rPr>
          <w:sz w:val="28"/>
          <w:szCs w:val="28"/>
        </w:rPr>
        <w:t xml:space="preserve"> </w:t>
      </w:r>
    </w:p>
    <w:p w:rsidR="00CD4E9A" w:rsidRPr="000B563F" w:rsidRDefault="000B563F" w:rsidP="000B563F">
      <w:pPr>
        <w:bidi/>
        <w:rPr>
          <w:sz w:val="28"/>
          <w:szCs w:val="28"/>
          <w:rtl/>
        </w:rPr>
      </w:pPr>
      <w:r w:rsidRPr="000B563F">
        <w:rPr>
          <w:color w:val="000000"/>
          <w:sz w:val="28"/>
          <w:szCs w:val="28"/>
          <w:rtl/>
        </w:rPr>
        <w:t>משנכנסו חכמים בכרם ביבנה אמרו עתידה שעה שיהא אדם מבקש דבר מדברי תורה ואינו מוציא מדברי סופרים ואינו מוצא שנ' (לכן) הנה ימים באים נאם י"י והשלחתי רעב בארץ לא רעב ללחם ולא צמא למים כי אם לשמע דברי י"י ונעו מים ועד ים ומצפון ועד מזרח ישוטטו לבקש את דבר י"י ולא ימצאו דבר י"י זו נבואה דבר י"י זה הקץ דבר י"י שלא יהא דבר מדברי תורה דומה לחבירו אמרו נתחיל מהילל ומשמאי שמאי אומ' מקב חלה והילל אומ' מקבים וחכמ' אומ' לא כדברי זה ולא כדברי זה אלא קב ומחצה חייב בחלה שנ' ראשית עריסותיכם חלה כדי עיסתכם וכמה עיסתכם כדי עיסת מדבר וכמה עיסת מדבר כעומר שנ' והעומר עשירית האיפה:</w:t>
      </w:r>
    </w:p>
    <w:p w:rsidR="000B563F" w:rsidRPr="000B563F" w:rsidRDefault="000B563F" w:rsidP="000B563F">
      <w:pPr>
        <w:bidi/>
        <w:rPr>
          <w:sz w:val="28"/>
          <w:szCs w:val="28"/>
          <w:rtl/>
        </w:rPr>
      </w:pPr>
    </w:p>
    <w:p w:rsidR="000B563F" w:rsidRPr="000B563F" w:rsidRDefault="000B563F" w:rsidP="000B563F">
      <w:pPr>
        <w:autoSpaceDE w:val="0"/>
        <w:autoSpaceDN w:val="0"/>
        <w:bidi/>
        <w:adjustRightInd w:val="0"/>
        <w:rPr>
          <w:sz w:val="28"/>
          <w:szCs w:val="28"/>
        </w:rPr>
      </w:pPr>
      <w:r w:rsidRPr="000B563F">
        <w:rPr>
          <w:b/>
          <w:bCs/>
          <w:color w:val="000000"/>
          <w:sz w:val="28"/>
          <w:szCs w:val="28"/>
          <w:u w:val="single"/>
          <w:rtl/>
        </w:rPr>
        <w:t xml:space="preserve">שבת </w:t>
      </w:r>
      <w:r w:rsidRPr="000B563F">
        <w:rPr>
          <w:rFonts w:hint="cs"/>
          <w:b/>
          <w:bCs/>
          <w:color w:val="000000"/>
          <w:sz w:val="28"/>
          <w:szCs w:val="28"/>
          <w:u w:val="single"/>
          <w:rtl/>
        </w:rPr>
        <w:t>ט:</w:t>
      </w:r>
      <w:r w:rsidRPr="000B563F">
        <w:rPr>
          <w:sz w:val="28"/>
          <w:szCs w:val="28"/>
        </w:rPr>
        <w:t xml:space="preserve"> </w:t>
      </w:r>
    </w:p>
    <w:p w:rsidR="000B563F" w:rsidRPr="000B563F" w:rsidRDefault="000B563F" w:rsidP="000B563F">
      <w:pPr>
        <w:autoSpaceDE w:val="0"/>
        <w:autoSpaceDN w:val="0"/>
        <w:bidi/>
        <w:adjustRightInd w:val="0"/>
        <w:rPr>
          <w:color w:val="000000"/>
          <w:sz w:val="28"/>
          <w:szCs w:val="28"/>
          <w:rtl/>
        </w:rPr>
      </w:pPr>
      <w:r w:rsidRPr="000B563F">
        <w:rPr>
          <w:color w:val="000000"/>
          <w:sz w:val="28"/>
          <w:szCs w:val="28"/>
          <w:rtl/>
        </w:rPr>
        <w:t xml:space="preserve">משנה. לא ישב אדם לפני הספר סמוך למנחה עד שיתפלל, לא יכנס אדם למרחץ ולא לבורסקי ולא לאכול ולא לדין. ואם התחילו - אין מפסיקין. מפסיקין לקריאת שמע ואין מפסיקין לתפלה. </w:t>
      </w:r>
    </w:p>
    <w:p w:rsidR="000B563F" w:rsidRPr="000B563F" w:rsidRDefault="000B563F" w:rsidP="000B563F">
      <w:pPr>
        <w:bidi/>
        <w:rPr>
          <w:sz w:val="28"/>
          <w:szCs w:val="28"/>
          <w:rtl/>
        </w:rPr>
      </w:pPr>
      <w:r w:rsidRPr="000B563F">
        <w:rPr>
          <w:color w:val="000000"/>
          <w:sz w:val="28"/>
          <w:szCs w:val="28"/>
          <w:rtl/>
        </w:rPr>
        <w:t>גמרא. הי סמוך למנחה? אילימא למנחה גדולה - אמאי לא? האיכא שהות ביום טובא! - אלא סמוך למנחה קטנה. אם התחילו אין מפסיקין. נימא תיהוי תיובתא דרבי יהושע בן לוי, דאמר רבי יהושע בן לוי: כיון שהגיע זמן תפלת המנחה - אסור לאדם שיטעום כלום קודם שיתפלל תפלת המנחה! - לא, לעולם סמוך למנחה גדולה, ובתספורת בן אלעשה. ולא למרחץ - לכולא מילתא דמרחץ. ולא לבורסקי - לבורסקי גדולה. ולא לאכול - בסעודה גדולה. ולא לדין - בתחילת דין. רב אחא בר יעקב אמר: לעולם בתספורת דידן, לכתחילה אמאי לא ישב - גזירה שמא ישבר הזוג. ולא למרחץ - להזיע בעלמא, לכתחלה אמאי לא - גזירה שמא יתעלפה. ולא לבורסקי - לעיוני בעלמא. לכתחלה אמאי לא - דילמא חזי פסידא בזביניה ומטריד. ולא לאכול - בסעודה קטנה. לכתחלה אמאי לא - דילמא אתי לאמשוכי. ולא לדין - בגמר הדין, לכתחלה אמאי לא - דילמא חזי טעמא וסתר דינא.</w:t>
      </w:r>
    </w:p>
    <w:p w:rsidR="000B563F" w:rsidRPr="000B563F" w:rsidRDefault="000B563F" w:rsidP="000B563F">
      <w:pPr>
        <w:bidi/>
        <w:rPr>
          <w:sz w:val="28"/>
          <w:szCs w:val="28"/>
          <w:rtl/>
        </w:rPr>
      </w:pPr>
    </w:p>
    <w:p w:rsidR="000B563F" w:rsidRPr="000B563F" w:rsidRDefault="000B563F" w:rsidP="000B563F">
      <w:pPr>
        <w:autoSpaceDE w:val="0"/>
        <w:autoSpaceDN w:val="0"/>
        <w:bidi/>
        <w:adjustRightInd w:val="0"/>
        <w:rPr>
          <w:sz w:val="28"/>
          <w:szCs w:val="28"/>
        </w:rPr>
      </w:pPr>
      <w:r w:rsidRPr="000B563F">
        <w:rPr>
          <w:b/>
          <w:bCs/>
          <w:color w:val="000000"/>
          <w:sz w:val="28"/>
          <w:szCs w:val="28"/>
          <w:u w:val="single"/>
          <w:rtl/>
        </w:rPr>
        <w:t xml:space="preserve">תוספות </w:t>
      </w:r>
      <w:r>
        <w:rPr>
          <w:rFonts w:hint="cs"/>
          <w:b/>
          <w:bCs/>
          <w:color w:val="000000"/>
          <w:sz w:val="28"/>
          <w:szCs w:val="28"/>
          <w:u w:val="single"/>
          <w:rtl/>
        </w:rPr>
        <w:t>שם</w:t>
      </w:r>
    </w:p>
    <w:p w:rsidR="000B563F" w:rsidRPr="000B563F" w:rsidRDefault="000B563F" w:rsidP="000B563F">
      <w:pPr>
        <w:autoSpaceDE w:val="0"/>
        <w:autoSpaceDN w:val="0"/>
        <w:bidi/>
        <w:adjustRightInd w:val="0"/>
        <w:rPr>
          <w:color w:val="000000"/>
          <w:sz w:val="28"/>
          <w:szCs w:val="28"/>
          <w:rtl/>
        </w:rPr>
      </w:pPr>
      <w:r w:rsidRPr="000B563F">
        <w:rPr>
          <w:color w:val="000000"/>
          <w:sz w:val="28"/>
          <w:szCs w:val="28"/>
          <w:rtl/>
        </w:rPr>
        <w:t>בתספורת של בן אלעשה כו' - נראה דהכי הלכתא ושרי סעודה קטנה במנחה גדולה עד זמן תפלה ודוקא סעודה גדולה כגון סעודת אירוסין ונשואין וסעודת מילה אסור ודלא כרב אחא בר יעקב דאסר אפילו סעודה קטנה סמוך למנחה גדולה דהלכה כלישנא קמא דסתם לן הש"ס ורב אשי שהוא בתראה סידר את הש"ס והלכתא כותיה לגבי רב אחא בר יעקב ואמאי דאמר לקמן מאימתי התחלת דין אין להוכיח דמתניתין איירי בתחלת הדין דלא כרב אחא דאיכא למימר דקאי אאם התחילו אין מפסיקין ומיהו סמוך למנחה קטנה אסור אפילו סעודה קטנה ואם התחילו מפסיקין ואף על גב דהש"ס אי לאו דר' יהושע בן לוי הוה מוקי לה בסעודה קטנה וסמוך למנחה קטנה ואם התחילו אין מפסיקין ולא קי"ל כר' יהושע בן לוי כדאמר בפרק תפלת השחר (ברכות כח:) מ"מ כיון דמסיק סתם הש"ס הכי משמע דבהא דאם התחילו מפסיקין קיימא לן כוותיה ודוקא בהא דאמר דאסור לטעום אפילו פירות לא קיימא לן כוותיה.</w:t>
      </w:r>
    </w:p>
    <w:p w:rsidR="000B563F" w:rsidRDefault="000B563F" w:rsidP="000B563F">
      <w:pPr>
        <w:bidi/>
        <w:rPr>
          <w:sz w:val="28"/>
          <w:szCs w:val="28"/>
          <w:rtl/>
        </w:rPr>
      </w:pPr>
    </w:p>
    <w:p w:rsidR="000B563F" w:rsidRPr="000B563F" w:rsidRDefault="000B563F" w:rsidP="000B563F">
      <w:pPr>
        <w:autoSpaceDE w:val="0"/>
        <w:autoSpaceDN w:val="0"/>
        <w:bidi/>
        <w:adjustRightInd w:val="0"/>
        <w:rPr>
          <w:sz w:val="28"/>
          <w:szCs w:val="28"/>
        </w:rPr>
      </w:pPr>
      <w:r w:rsidRPr="000B563F">
        <w:rPr>
          <w:b/>
          <w:bCs/>
          <w:color w:val="000000"/>
          <w:sz w:val="28"/>
          <w:szCs w:val="28"/>
          <w:u w:val="single"/>
          <w:rtl/>
        </w:rPr>
        <w:t>שולחן ערוך אורח חיים הלכות תפילת המנחה סימן רלב סעיף ב</w:t>
      </w:r>
      <w:r w:rsidRPr="000B563F">
        <w:rPr>
          <w:sz w:val="28"/>
          <w:szCs w:val="28"/>
        </w:rPr>
        <w:t xml:space="preserve"> </w:t>
      </w:r>
    </w:p>
    <w:p w:rsidR="000B563F" w:rsidRPr="000B563F" w:rsidRDefault="000B563F" w:rsidP="000B563F">
      <w:pPr>
        <w:bidi/>
        <w:rPr>
          <w:rFonts w:hint="cs"/>
          <w:sz w:val="28"/>
          <w:szCs w:val="28"/>
          <w:rtl/>
        </w:rPr>
      </w:pPr>
      <w:r>
        <w:rPr>
          <w:color w:val="000000"/>
          <w:sz w:val="28"/>
          <w:szCs w:val="28"/>
          <w:rtl/>
        </w:rPr>
        <w:t>לא ישב אדם להסתפר סמוך למנחה, עד שיתפלל; ולא יכנס למרחץ ולא לבורסקי</w:t>
      </w:r>
      <w:r>
        <w:rPr>
          <w:color w:val="000000"/>
          <w:sz w:val="22"/>
          <w:szCs w:val="22"/>
          <w:rtl/>
        </w:rPr>
        <w:t xml:space="preserve"> (מקום שמעבדין שם העורות),</w:t>
      </w:r>
      <w:r>
        <w:rPr>
          <w:color w:val="000000"/>
          <w:sz w:val="28"/>
          <w:szCs w:val="28"/>
          <w:rtl/>
        </w:rPr>
        <w:t xml:space="preserve"> ולא לדין ולא לאכול אפי' סעודה קטנה סמוך למנחה גדולה; ואם התחיל באחת מכל אלו, אינו מפסיק אף על פי שהתחיל באיסור; והוא שיהא שהות ביום להתפלל אחר שיגמור סעודתו או מלאכתו, אבל אם אין שהות להתפלל אח"כ, צריך להפסיק מיד; ומאימתי התחלת תספורת, משיניח סודר של ספרים על ברכיו; והתחלת מרחץ, משיפשוט לבושו העליון; והתחלת בורסקי, משיקשור בגד בין כתיפיו כדרך הבורסקים; והתחלת דין, אם היו עסוקים בו, משיתחילו בעלי דינים לטעון, ואם לא היו עסוקים בו, משיתעטפו הדיינים, ולדידן משישבו אדעתא לדון; והתחלת אכילה משיטול ידיו.</w:t>
      </w:r>
      <w:r>
        <w:rPr>
          <w:color w:val="000000"/>
          <w:sz w:val="22"/>
          <w:szCs w:val="22"/>
          <w:rtl/>
        </w:rPr>
        <w:t xml:space="preserve"> הגה: וי"ח וסבירא להו דסעודה קטנה מותר, ואינו אסור רק בסעודת נשואין או מילה (טור בשם ר"ת); וי"א דאפילו סעודה גדולה סמוך למ"ג שרי (בעל המאור והג"מ פ"ק דשבת); וי"א דסעודה קטנה אפי' סמוך למנחה קטנה שרי (טור בשם ר"י); ונהגו להקל כשתי הסברות, דהיינו בסעודה גדולה סמוך למנחה גדולה, ובסעודה קטנה סמוך למנחה קטנה; ואפשר הטעם משום דעכשיו קורין לבית הכנסת, לא חיישינן דלמא יפשע ולא יתפלל (אגודה פ"ק דשבת), (וע"ל סי' פ"ט); מיהו בסעודה גדולה יש להחמיר אפילו סמוך למנחה גדולה, ואפילו אם התחיל קודם לכן, כשמגיע מנחה קטנה והשעה עוברת, צריך לקום ולהתפלל (טור וב"י בשם הפוסקים).</w:t>
      </w:r>
    </w:p>
    <w:sectPr w:rsidR="000B563F" w:rsidRPr="000B563F" w:rsidSect="000B563F">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F"/>
    <w:rsid w:val="00035BD5"/>
    <w:rsid w:val="000B563F"/>
    <w:rsid w:val="007D0794"/>
    <w:rsid w:val="00892836"/>
    <w:rsid w:val="009926B6"/>
    <w:rsid w:val="00B87D21"/>
    <w:rsid w:val="00C97B60"/>
    <w:rsid w:val="00CD4E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11FD"/>
  <w15:chartTrackingRefBased/>
  <w15:docId w15:val="{68E4C3CB-E2F9-4608-8E74-CF2A5341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B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D0794"/>
    <w:pPr>
      <w:keepNext/>
      <w:keepLines/>
      <w:spacing w:before="240"/>
      <w:outlineLvl w:val="0"/>
    </w:pPr>
    <w:rPr>
      <w:rFonts w:eastAsiaTheme="majorEastAs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794"/>
    <w:rPr>
      <w:rFonts w:ascii="Times New Roman" w:eastAsiaTheme="majorEastAsia" w:hAnsi="Times New Roman" w:cs="Times New Roman"/>
      <w:sz w:val="32"/>
      <w:szCs w:val="32"/>
    </w:rPr>
  </w:style>
  <w:style w:type="paragraph" w:styleId="BalloonText">
    <w:name w:val="Balloon Text"/>
    <w:basedOn w:val="Normal"/>
    <w:link w:val="BalloonTextChar"/>
    <w:uiPriority w:val="99"/>
    <w:semiHidden/>
    <w:unhideWhenUsed/>
    <w:rsid w:val="000B5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2975</Characters>
  <Application>Microsoft Office Word</Application>
  <DocSecurity>0</DocSecurity>
  <Lines>24</Lines>
  <Paragraphs>7</Paragraphs>
  <ScaleCrop>false</ScaleCrop>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kjwieder</dc:creator>
  <cp:keywords/>
  <dc:description/>
  <cp:lastModifiedBy>kjwieder</cp:lastModifiedBy>
  <cp:revision>1</cp:revision>
  <cp:lastPrinted>2022-03-20T12:21:00Z</cp:lastPrinted>
  <dcterms:created xsi:type="dcterms:W3CDTF">2022-03-20T12:18:00Z</dcterms:created>
  <dcterms:modified xsi:type="dcterms:W3CDTF">2022-03-20T12:22:00Z</dcterms:modified>
</cp:coreProperties>
</file>